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9D8BD" w14:textId="77777777" w:rsidR="004628BB" w:rsidRDefault="002C5754">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r>
        <w:rPr>
          <w:noProof/>
        </w:rPr>
        <w:drawing>
          <wp:anchor distT="0" distB="0" distL="114300" distR="114300" simplePos="0" relativeHeight="251664384" behindDoc="0" locked="0" layoutInCell="1" allowOverlap="1" wp14:anchorId="5B39DD0C" wp14:editId="5B39DD0D">
            <wp:simplePos x="0" y="0"/>
            <wp:positionH relativeFrom="column">
              <wp:posOffset>4219575</wp:posOffset>
            </wp:positionH>
            <wp:positionV relativeFrom="paragraph">
              <wp:posOffset>9077325</wp:posOffset>
            </wp:positionV>
            <wp:extent cx="3455670" cy="506095"/>
            <wp:effectExtent l="0" t="0" r="0" b="0"/>
            <wp:wrapNone/>
            <wp:docPr id="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2"/>
                    <pic:cNvPicPr>
                      <a:picLocks noChangeAspect="1"/>
                    </pic:cNvPicPr>
                  </pic:nvPicPr>
                  <pic:blipFill>
                    <a:blip r:embed="rId11"/>
                    <a:stretch>
                      <a:fillRect/>
                    </a:stretch>
                  </pic:blipFill>
                  <pic:spPr>
                    <a:xfrm>
                      <a:off x="0" y="0"/>
                      <a:ext cx="3455670" cy="506095"/>
                    </a:xfrm>
                    <a:prstGeom prst="rect">
                      <a:avLst/>
                    </a:prstGeom>
                    <a:noFill/>
                    <a:ln>
                      <a:noFill/>
                    </a:ln>
                  </pic:spPr>
                </pic:pic>
              </a:graphicData>
            </a:graphic>
          </wp:anchor>
        </w:drawing>
      </w:r>
    </w:p>
    <w:p w14:paraId="5B39D8BE"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BF"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0" w14:textId="77777777" w:rsidR="004628BB" w:rsidRDefault="002C5754">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r>
        <w:rPr>
          <w:rFonts w:cstheme="minorHAnsi"/>
          <w:noProof/>
          <w:color w:val="7030A0"/>
        </w:rPr>
        <w:drawing>
          <wp:anchor distT="0" distB="0" distL="114300" distR="114300" simplePos="0" relativeHeight="251662336" behindDoc="0" locked="0" layoutInCell="1" allowOverlap="1" wp14:anchorId="5B39DD0E" wp14:editId="5B39DD0F">
            <wp:simplePos x="0" y="0"/>
            <wp:positionH relativeFrom="margin">
              <wp:posOffset>3610610</wp:posOffset>
            </wp:positionH>
            <wp:positionV relativeFrom="paragraph">
              <wp:posOffset>-1951355</wp:posOffset>
            </wp:positionV>
            <wp:extent cx="2411095" cy="618490"/>
            <wp:effectExtent l="0" t="0" r="12065" b="6350"/>
            <wp:wrapNone/>
            <wp:docPr id="5"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lose up of a logo&#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11095" cy="618490"/>
                    </a:xfrm>
                    <a:prstGeom prst="rect">
                      <a:avLst/>
                    </a:prstGeom>
                  </pic:spPr>
                </pic:pic>
              </a:graphicData>
            </a:graphic>
          </wp:anchor>
        </w:drawing>
      </w:r>
      <w:r>
        <w:rPr>
          <w:noProof/>
          <w:sz w:val="70"/>
        </w:rPr>
        <mc:AlternateContent>
          <mc:Choice Requires="wps">
            <w:drawing>
              <wp:anchor distT="0" distB="0" distL="114300" distR="114300" simplePos="0" relativeHeight="251659264" behindDoc="0" locked="0" layoutInCell="1" allowOverlap="1" wp14:anchorId="5B39DD10" wp14:editId="5B39DD11">
                <wp:simplePos x="0" y="0"/>
                <wp:positionH relativeFrom="column">
                  <wp:posOffset>1640840</wp:posOffset>
                </wp:positionH>
                <wp:positionV relativeFrom="paragraph">
                  <wp:posOffset>1289050</wp:posOffset>
                </wp:positionV>
                <wp:extent cx="9011920" cy="9011920"/>
                <wp:effectExtent l="0" t="0" r="10160" b="10160"/>
                <wp:wrapNone/>
                <wp:docPr id="8" name="Овал 8"/>
                <wp:cNvGraphicFramePr/>
                <a:graphic xmlns:a="http://schemas.openxmlformats.org/drawingml/2006/main">
                  <a:graphicData uri="http://schemas.microsoft.com/office/word/2010/wordprocessingShape">
                    <wps:wsp>
                      <wps:cNvSpPr/>
                      <wps:spPr>
                        <a:xfrm>
                          <a:off x="0" y="0"/>
                          <a:ext cx="9011920" cy="9011920"/>
                        </a:xfrm>
                        <a:prstGeom prst="ellipse">
                          <a:avLst/>
                        </a:prstGeom>
                        <a:solidFill>
                          <a:srgbClr val="E9F3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9DD23" w14:textId="77777777" w:rsidR="004628BB" w:rsidRDefault="004628B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B39DD10" id="Овал 8" o:spid="_x0000_s1026" style="position:absolute;left:0;text-align:left;margin-left:129.2pt;margin-top:101.5pt;width:709.6pt;height:70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" fillcolor="#e9f3fa" stroked="f" strokeweight="2pt">
                <v:textbox>
                  <w:txbxContent>
                    <w:p w14:paraId="5B39DD23" w14:textId="77777777" w:rsidR="004628BB" w:rsidRDefault="004628BB">
                      <w:pPr>
                        <w:jc w:val="center"/>
                      </w:pPr>
                    </w:p>
                  </w:txbxContent>
                </v:textbox>
              </v:oval>
            </w:pict>
          </mc:Fallback>
        </mc:AlternateContent>
      </w:r>
      <w:r>
        <w:rPr>
          <w:noProof/>
          <w:color w:val="8A4691"/>
          <w:sz w:val="70"/>
        </w:rPr>
        <mc:AlternateContent>
          <mc:Choice Requires="wps">
            <w:drawing>
              <wp:anchor distT="0" distB="0" distL="114300" distR="114300" simplePos="0" relativeHeight="251660288" behindDoc="0" locked="0" layoutInCell="1" allowOverlap="1" wp14:anchorId="5B39DD12" wp14:editId="5B39DD13">
                <wp:simplePos x="0" y="0"/>
                <wp:positionH relativeFrom="column">
                  <wp:posOffset>-3432175</wp:posOffset>
                </wp:positionH>
                <wp:positionV relativeFrom="paragraph">
                  <wp:posOffset>5232400</wp:posOffset>
                </wp:positionV>
                <wp:extent cx="6801485" cy="1036320"/>
                <wp:effectExtent l="0" t="0" r="10795" b="0"/>
                <wp:wrapNone/>
                <wp:docPr id="11" name="Прямоугольник 11"/>
                <wp:cNvGraphicFramePr/>
                <a:graphic xmlns:a="http://schemas.openxmlformats.org/drawingml/2006/main">
                  <a:graphicData uri="http://schemas.microsoft.com/office/word/2010/wordprocessingShape">
                    <wps:wsp>
                      <wps:cNvSpPr/>
                      <wps:spPr>
                        <a:xfrm>
                          <a:off x="0" y="0"/>
                          <a:ext cx="6801485" cy="1036320"/>
                        </a:xfrm>
                        <a:prstGeom prst="rect">
                          <a:avLst/>
                        </a:prstGeom>
                        <a:solidFill>
                          <a:srgbClr val="8A46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9DD24" w14:textId="77777777" w:rsidR="004628BB" w:rsidRDefault="004628B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39DD12" id="Прямоугольник 11" o:spid="_x0000_s1027" style="position:absolute;left:0;text-align:left;margin-left:-270.25pt;margin-top:412pt;width:535.55pt;height:81.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" fillcolor="#8a4691" stroked="f" strokeweight="2pt">
                <v:textbox>
                  <w:txbxContent>
                    <w:p w14:paraId="5B39DD24" w14:textId="77777777" w:rsidR="004628BB" w:rsidRDefault="004628BB">
                      <w:pPr>
                        <w:jc w:val="center"/>
                      </w:pPr>
                    </w:p>
                  </w:txbxContent>
                </v:textbox>
              </v:rect>
            </w:pict>
          </mc:Fallback>
        </mc:AlternateContent>
      </w:r>
    </w:p>
    <w:p w14:paraId="5B39D8C1"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2" w14:textId="77777777" w:rsidR="004628BB" w:rsidRDefault="002C5754">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r>
        <w:rPr>
          <w:noProof/>
        </w:rPr>
        <w:drawing>
          <wp:anchor distT="0" distB="0" distL="114300" distR="114300" simplePos="0" relativeHeight="251663360" behindDoc="0" locked="0" layoutInCell="1" allowOverlap="1" wp14:anchorId="5B39DD14" wp14:editId="5B39DD15">
            <wp:simplePos x="0" y="0"/>
            <wp:positionH relativeFrom="column">
              <wp:posOffset>-856615</wp:posOffset>
            </wp:positionH>
            <wp:positionV relativeFrom="paragraph">
              <wp:posOffset>428625</wp:posOffset>
            </wp:positionV>
            <wp:extent cx="6311900" cy="2444750"/>
            <wp:effectExtent l="0" t="0" r="0" b="0"/>
            <wp:wrapNone/>
            <wp:docPr id="1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
                    <pic:cNvPicPr>
                      <a:picLocks noChangeAspect="1"/>
                    </pic:cNvPicPr>
                  </pic:nvPicPr>
                  <pic:blipFill>
                    <a:blip r:embed="rId13"/>
                    <a:stretch>
                      <a:fillRect/>
                    </a:stretch>
                  </pic:blipFill>
                  <pic:spPr>
                    <a:xfrm>
                      <a:off x="0" y="0"/>
                      <a:ext cx="6311900" cy="2444750"/>
                    </a:xfrm>
                    <a:prstGeom prst="rect">
                      <a:avLst/>
                    </a:prstGeom>
                    <a:noFill/>
                    <a:ln>
                      <a:noFill/>
                    </a:ln>
                  </pic:spPr>
                </pic:pic>
              </a:graphicData>
            </a:graphic>
          </wp:anchor>
        </w:drawing>
      </w:r>
    </w:p>
    <w:p w14:paraId="5B39D8C3"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4"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5"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6"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7"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8"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9"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A"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B"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C" w14:textId="77777777" w:rsidR="004628BB" w:rsidRDefault="002C5754">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r>
        <w:rPr>
          <w:noProof/>
        </w:rPr>
        <w:drawing>
          <wp:anchor distT="0" distB="0" distL="114300" distR="114300" simplePos="0" relativeHeight="251665408" behindDoc="0" locked="0" layoutInCell="1" allowOverlap="1" wp14:anchorId="5B39DD16" wp14:editId="5B39DD17">
            <wp:simplePos x="0" y="0"/>
            <wp:positionH relativeFrom="column">
              <wp:posOffset>-294640</wp:posOffset>
            </wp:positionH>
            <wp:positionV relativeFrom="paragraph">
              <wp:posOffset>248285</wp:posOffset>
            </wp:positionV>
            <wp:extent cx="5601335" cy="810260"/>
            <wp:effectExtent l="0" t="0" r="0" b="0"/>
            <wp:wrapNone/>
            <wp:docPr id="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
                    <pic:cNvPicPr>
                      <a:picLocks noChangeAspect="1"/>
                    </pic:cNvPicPr>
                  </pic:nvPicPr>
                  <pic:blipFill>
                    <a:blip r:embed="rId14"/>
                    <a:stretch>
                      <a:fillRect/>
                    </a:stretch>
                  </pic:blipFill>
                  <pic:spPr>
                    <a:xfrm>
                      <a:off x="0" y="0"/>
                      <a:ext cx="5601335" cy="810260"/>
                    </a:xfrm>
                    <a:prstGeom prst="rect">
                      <a:avLst/>
                    </a:prstGeom>
                    <a:noFill/>
                    <a:ln>
                      <a:noFill/>
                    </a:ln>
                  </pic:spPr>
                </pic:pic>
              </a:graphicData>
            </a:graphic>
          </wp:anchor>
        </w:drawing>
      </w:r>
    </w:p>
    <w:p w14:paraId="5B39D8CD"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E"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CF"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D0" w14:textId="77777777" w:rsidR="004628BB" w:rsidRDefault="004628BB">
      <w:pPr>
        <w:pStyle w:val="NormalWeb"/>
        <w:shd w:val="clear" w:color="auto" w:fill="FFFFFF"/>
        <w:spacing w:before="0" w:beforeAutospacing="0" w:after="240" w:afterAutospacing="0"/>
        <w:jc w:val="center"/>
        <w:rPr>
          <w:rFonts w:asciiTheme="minorHAnsi" w:hAnsiTheme="minorHAnsi" w:cstheme="minorHAnsi"/>
          <w:b/>
          <w:color w:val="000000"/>
          <w:sz w:val="36"/>
          <w:szCs w:val="36"/>
        </w:rPr>
      </w:pPr>
    </w:p>
    <w:p w14:paraId="5B39D8D1" w14:textId="77777777" w:rsidR="004628BB" w:rsidRDefault="002C5754">
      <w:pPr>
        <w:pStyle w:val="NormalWeb"/>
        <w:shd w:val="clear" w:color="auto" w:fill="FFFFFF"/>
        <w:spacing w:before="0" w:beforeAutospacing="0" w:after="240" w:afterAutospacing="0"/>
        <w:rPr>
          <w:rFonts w:asciiTheme="minorHAnsi" w:hAnsiTheme="minorHAnsi" w:cstheme="minorHAnsi"/>
          <w:b/>
          <w:color w:val="000000"/>
          <w:sz w:val="32"/>
          <w:szCs w:val="32"/>
        </w:rPr>
      </w:pPr>
      <w:r>
        <w:rPr>
          <w:rFonts w:asciiTheme="minorHAnsi" w:hAnsiTheme="minorHAnsi" w:cstheme="minorHAnsi"/>
          <w:b/>
          <w:color w:val="000000"/>
          <w:sz w:val="32"/>
          <w:szCs w:val="32"/>
        </w:rPr>
        <w:lastRenderedPageBreak/>
        <w:t>Contents</w:t>
      </w:r>
    </w:p>
    <w:p w14:paraId="5B39D8D2" w14:textId="77777777" w:rsidR="004628BB" w:rsidRDefault="002C5754">
      <w:pPr>
        <w:pStyle w:val="ListParagraph"/>
        <w:numPr>
          <w:ilvl w:val="0"/>
          <w:numId w:val="1"/>
        </w:numPr>
        <w:rPr>
          <w:rFonts w:asciiTheme="minorHAnsi" w:hAnsiTheme="minorHAnsi" w:cstheme="minorHAnsi"/>
          <w:b/>
          <w:bCs/>
          <w:sz w:val="28"/>
          <w:szCs w:val="28"/>
        </w:rPr>
      </w:pPr>
      <w:r>
        <w:rPr>
          <w:rFonts w:asciiTheme="minorHAnsi" w:hAnsiTheme="minorHAnsi" w:cstheme="minorHAnsi"/>
          <w:b/>
          <w:bCs/>
          <w:sz w:val="28"/>
          <w:szCs w:val="28"/>
        </w:rPr>
        <w:t>Introduction and Overview</w:t>
      </w:r>
    </w:p>
    <w:p w14:paraId="5B39D8D3" w14:textId="77777777" w:rsidR="004628BB" w:rsidRDefault="004628BB">
      <w:pPr>
        <w:pStyle w:val="ListParagraph"/>
        <w:ind w:left="360"/>
        <w:rPr>
          <w:rFonts w:asciiTheme="minorHAnsi" w:hAnsiTheme="minorHAnsi" w:cstheme="minorHAnsi"/>
          <w:b/>
          <w:bCs/>
          <w:color w:val="222222"/>
          <w:sz w:val="28"/>
          <w:szCs w:val="28"/>
        </w:rPr>
      </w:pPr>
    </w:p>
    <w:p w14:paraId="5B39D8D4" w14:textId="77777777" w:rsidR="004628BB" w:rsidRDefault="002C5754">
      <w:pPr>
        <w:pStyle w:val="ListParagraph"/>
        <w:numPr>
          <w:ilvl w:val="0"/>
          <w:numId w:val="1"/>
        </w:num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Data Management Responsibility</w:t>
      </w:r>
    </w:p>
    <w:p w14:paraId="5B39D8D5" w14:textId="77777777" w:rsidR="004628BB" w:rsidRDefault="004628BB">
      <w:pPr>
        <w:pStyle w:val="ListParagraph"/>
        <w:ind w:left="360"/>
        <w:rPr>
          <w:rFonts w:asciiTheme="minorHAnsi" w:hAnsiTheme="minorHAnsi" w:cstheme="minorHAnsi"/>
          <w:b/>
          <w:bCs/>
          <w:color w:val="000000" w:themeColor="text1"/>
          <w:sz w:val="28"/>
          <w:szCs w:val="28"/>
        </w:rPr>
      </w:pPr>
    </w:p>
    <w:p w14:paraId="5B39D8D6" w14:textId="77777777" w:rsidR="004628BB" w:rsidRDefault="002C5754">
      <w:pPr>
        <w:pStyle w:val="ListParagraph"/>
        <w:numPr>
          <w:ilvl w:val="0"/>
          <w:numId w:val="1"/>
        </w:num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Planning Procedure</w:t>
      </w:r>
    </w:p>
    <w:p w14:paraId="5B39D8D7" w14:textId="77777777" w:rsidR="004628BB" w:rsidRDefault="004628BB">
      <w:pPr>
        <w:pStyle w:val="ListParagraph"/>
        <w:ind w:left="360"/>
        <w:rPr>
          <w:rFonts w:asciiTheme="minorHAnsi" w:hAnsiTheme="minorHAnsi" w:cstheme="minorHAnsi"/>
          <w:b/>
          <w:bCs/>
          <w:sz w:val="28"/>
          <w:szCs w:val="28"/>
        </w:rPr>
      </w:pPr>
    </w:p>
    <w:p w14:paraId="5B39D8D8" w14:textId="77777777" w:rsidR="004628BB" w:rsidRDefault="002C5754">
      <w:pPr>
        <w:pStyle w:val="ListParagraph"/>
        <w:numPr>
          <w:ilvl w:val="0"/>
          <w:numId w:val="1"/>
        </w:numPr>
        <w:rPr>
          <w:rFonts w:asciiTheme="minorHAnsi" w:hAnsiTheme="minorHAnsi" w:cstheme="minorHAnsi"/>
          <w:b/>
          <w:bCs/>
          <w:sz w:val="28"/>
          <w:szCs w:val="28"/>
        </w:rPr>
      </w:pPr>
      <w:r>
        <w:rPr>
          <w:rFonts w:asciiTheme="minorHAnsi" w:hAnsiTheme="minorHAnsi" w:cstheme="minorHAnsi"/>
          <w:b/>
          <w:bCs/>
          <w:sz w:val="28"/>
          <w:szCs w:val="28"/>
        </w:rPr>
        <w:t>Privacy Notices</w:t>
      </w:r>
    </w:p>
    <w:p w14:paraId="5B39D8D9" w14:textId="77777777" w:rsidR="004628BB" w:rsidRDefault="004628BB">
      <w:pPr>
        <w:pStyle w:val="ListParagraph"/>
        <w:ind w:left="360"/>
        <w:rPr>
          <w:rFonts w:asciiTheme="minorHAnsi" w:eastAsia="MS Gothic" w:hAnsiTheme="minorHAnsi" w:cstheme="minorHAnsi"/>
          <w:b/>
          <w:bCs/>
          <w:sz w:val="28"/>
          <w:szCs w:val="28"/>
        </w:rPr>
      </w:pPr>
    </w:p>
    <w:p w14:paraId="5B39D8DA" w14:textId="77777777" w:rsidR="004628BB" w:rsidRDefault="002C5754">
      <w:pPr>
        <w:pStyle w:val="ListParagraph"/>
        <w:numPr>
          <w:ilvl w:val="0"/>
          <w:numId w:val="1"/>
        </w:numPr>
        <w:rPr>
          <w:rFonts w:asciiTheme="minorHAnsi" w:eastAsia="MS Gothic" w:hAnsiTheme="minorHAnsi" w:cstheme="minorHAnsi"/>
          <w:b/>
          <w:bCs/>
          <w:sz w:val="28"/>
          <w:szCs w:val="28"/>
        </w:rPr>
      </w:pPr>
      <w:r>
        <w:rPr>
          <w:rFonts w:asciiTheme="minorHAnsi" w:eastAsia="MS Gothic" w:hAnsiTheme="minorHAnsi" w:cstheme="minorHAnsi"/>
          <w:b/>
          <w:bCs/>
          <w:sz w:val="28"/>
          <w:szCs w:val="28"/>
        </w:rPr>
        <w:t>Data Breaches</w:t>
      </w:r>
    </w:p>
    <w:p w14:paraId="5B39D8DB" w14:textId="77777777" w:rsidR="004628BB" w:rsidRDefault="004628BB">
      <w:pPr>
        <w:pStyle w:val="ListParagraph"/>
        <w:ind w:left="360"/>
        <w:rPr>
          <w:rFonts w:asciiTheme="minorHAnsi" w:eastAsia="MS Gothic" w:hAnsiTheme="minorHAnsi" w:cstheme="minorHAnsi"/>
          <w:b/>
          <w:bCs/>
          <w:sz w:val="28"/>
          <w:szCs w:val="28"/>
        </w:rPr>
      </w:pPr>
    </w:p>
    <w:p w14:paraId="5B39D8DC" w14:textId="77777777" w:rsidR="004628BB" w:rsidRDefault="002C5754">
      <w:pPr>
        <w:pStyle w:val="ListParagraph"/>
        <w:numPr>
          <w:ilvl w:val="0"/>
          <w:numId w:val="1"/>
        </w:numPr>
        <w:rPr>
          <w:rFonts w:asciiTheme="minorHAnsi" w:eastAsia="MS Gothic" w:hAnsiTheme="minorHAnsi" w:cstheme="minorHAnsi"/>
          <w:b/>
          <w:bCs/>
          <w:sz w:val="28"/>
          <w:szCs w:val="28"/>
        </w:rPr>
      </w:pPr>
      <w:r>
        <w:rPr>
          <w:rFonts w:asciiTheme="minorHAnsi" w:eastAsia="MS Gothic" w:hAnsiTheme="minorHAnsi" w:cstheme="minorHAnsi"/>
          <w:b/>
          <w:bCs/>
          <w:sz w:val="28"/>
          <w:szCs w:val="28"/>
        </w:rPr>
        <w:t>Data Breach Management Procedure</w:t>
      </w:r>
    </w:p>
    <w:p w14:paraId="5B39D8DD" w14:textId="77777777" w:rsidR="004628BB" w:rsidRDefault="004628BB">
      <w:pPr>
        <w:pStyle w:val="ListParagraph"/>
        <w:ind w:left="360"/>
        <w:rPr>
          <w:rFonts w:asciiTheme="minorHAnsi" w:eastAsia="MS Gothic" w:hAnsiTheme="minorHAnsi" w:cstheme="minorHAnsi"/>
          <w:b/>
          <w:bCs/>
          <w:sz w:val="28"/>
          <w:szCs w:val="28"/>
        </w:rPr>
      </w:pPr>
    </w:p>
    <w:p w14:paraId="5B39D8DE" w14:textId="77777777" w:rsidR="004628BB" w:rsidRDefault="002C5754">
      <w:pPr>
        <w:pStyle w:val="ListParagraph"/>
        <w:numPr>
          <w:ilvl w:val="0"/>
          <w:numId w:val="1"/>
        </w:numPr>
        <w:rPr>
          <w:rFonts w:asciiTheme="minorHAnsi" w:eastAsia="MS Gothic" w:hAnsiTheme="minorHAnsi" w:cstheme="minorHAnsi"/>
          <w:b/>
          <w:bCs/>
          <w:sz w:val="28"/>
          <w:szCs w:val="28"/>
        </w:rPr>
      </w:pPr>
      <w:r>
        <w:rPr>
          <w:rFonts w:asciiTheme="minorHAnsi" w:eastAsia="MS Gothic" w:hAnsiTheme="minorHAnsi" w:cstheme="minorHAnsi"/>
          <w:b/>
          <w:bCs/>
          <w:sz w:val="28"/>
          <w:szCs w:val="28"/>
        </w:rPr>
        <w:t>Data Deletion Procedure</w:t>
      </w:r>
    </w:p>
    <w:p w14:paraId="5B39D8DF" w14:textId="77777777" w:rsidR="004628BB" w:rsidRDefault="004628BB">
      <w:pPr>
        <w:pStyle w:val="ListParagraph"/>
        <w:ind w:left="360"/>
        <w:rPr>
          <w:rFonts w:asciiTheme="minorHAnsi" w:eastAsia="MS Gothic" w:hAnsiTheme="minorHAnsi" w:cstheme="minorHAnsi"/>
          <w:b/>
          <w:bCs/>
          <w:sz w:val="28"/>
          <w:szCs w:val="28"/>
        </w:rPr>
      </w:pPr>
    </w:p>
    <w:p w14:paraId="5B39D8E0" w14:textId="77777777" w:rsidR="004628BB" w:rsidRDefault="002C5754">
      <w:pPr>
        <w:pStyle w:val="ListParagraph"/>
        <w:numPr>
          <w:ilvl w:val="0"/>
          <w:numId w:val="1"/>
        </w:numPr>
        <w:rPr>
          <w:rFonts w:asciiTheme="minorHAnsi" w:eastAsia="MS Gothic" w:hAnsiTheme="minorHAnsi" w:cstheme="minorHAnsi"/>
          <w:b/>
          <w:bCs/>
          <w:sz w:val="28"/>
          <w:szCs w:val="28"/>
        </w:rPr>
      </w:pPr>
      <w:r>
        <w:rPr>
          <w:rFonts w:asciiTheme="minorHAnsi" w:eastAsia="MS Gothic" w:hAnsiTheme="minorHAnsi" w:cstheme="minorHAnsi"/>
          <w:b/>
          <w:bCs/>
          <w:sz w:val="28"/>
          <w:szCs w:val="28"/>
        </w:rPr>
        <w:t xml:space="preserve">Data Return and Correction </w:t>
      </w:r>
      <w:r>
        <w:rPr>
          <w:rFonts w:asciiTheme="minorHAnsi" w:eastAsia="MS Gothic" w:hAnsiTheme="minorHAnsi" w:cstheme="minorHAnsi"/>
          <w:b/>
          <w:bCs/>
          <w:sz w:val="28"/>
          <w:szCs w:val="28"/>
        </w:rPr>
        <w:t>Procedure</w:t>
      </w:r>
    </w:p>
    <w:p w14:paraId="5B39D8E1" w14:textId="77777777" w:rsidR="004628BB" w:rsidRDefault="004628BB">
      <w:pPr>
        <w:pStyle w:val="ListParagraph"/>
        <w:ind w:left="360"/>
        <w:rPr>
          <w:rFonts w:asciiTheme="minorHAnsi" w:eastAsia="MS Gothic" w:hAnsiTheme="minorHAnsi" w:cstheme="minorHAnsi"/>
          <w:b/>
          <w:bCs/>
          <w:sz w:val="28"/>
          <w:szCs w:val="28"/>
        </w:rPr>
      </w:pPr>
    </w:p>
    <w:p w14:paraId="5B39D8E2" w14:textId="77777777" w:rsidR="004628BB" w:rsidRDefault="002C5754">
      <w:pPr>
        <w:pStyle w:val="ListParagraph"/>
        <w:numPr>
          <w:ilvl w:val="0"/>
          <w:numId w:val="1"/>
        </w:numPr>
        <w:rPr>
          <w:rFonts w:asciiTheme="minorHAnsi" w:eastAsia="MS Gothic" w:hAnsiTheme="minorHAnsi" w:cstheme="minorHAnsi"/>
          <w:b/>
          <w:bCs/>
          <w:sz w:val="28"/>
          <w:szCs w:val="28"/>
        </w:rPr>
      </w:pPr>
      <w:r>
        <w:rPr>
          <w:rFonts w:asciiTheme="minorHAnsi" w:eastAsia="MS Gothic" w:hAnsiTheme="minorHAnsi" w:cstheme="minorHAnsi"/>
          <w:b/>
          <w:bCs/>
          <w:sz w:val="28"/>
          <w:szCs w:val="28"/>
        </w:rPr>
        <w:t>Data Retention Periods</w:t>
      </w:r>
    </w:p>
    <w:p w14:paraId="5B39D8E3" w14:textId="77777777" w:rsidR="004628BB" w:rsidRDefault="004628BB">
      <w:pPr>
        <w:pStyle w:val="ListParagraph"/>
        <w:ind w:left="360"/>
        <w:rPr>
          <w:rFonts w:asciiTheme="minorHAnsi" w:eastAsia="MS Gothic" w:hAnsiTheme="minorHAnsi" w:cstheme="minorHAnsi"/>
          <w:b/>
          <w:bCs/>
          <w:sz w:val="28"/>
          <w:szCs w:val="28"/>
        </w:rPr>
      </w:pPr>
    </w:p>
    <w:p w14:paraId="5B39D8E4" w14:textId="77777777" w:rsidR="004628BB" w:rsidRDefault="002C5754">
      <w:pPr>
        <w:pStyle w:val="ListParagraph"/>
        <w:numPr>
          <w:ilvl w:val="0"/>
          <w:numId w:val="1"/>
        </w:numPr>
        <w:rPr>
          <w:rFonts w:asciiTheme="minorHAnsi" w:eastAsia="MS Gothic" w:hAnsiTheme="minorHAnsi" w:cstheme="minorHAnsi"/>
          <w:b/>
          <w:bCs/>
          <w:sz w:val="28"/>
          <w:szCs w:val="28"/>
        </w:rPr>
      </w:pPr>
      <w:r>
        <w:rPr>
          <w:rFonts w:asciiTheme="minorHAnsi" w:eastAsia="MS Gothic" w:hAnsiTheme="minorHAnsi" w:cstheme="minorHAnsi"/>
          <w:b/>
          <w:bCs/>
          <w:sz w:val="28"/>
          <w:szCs w:val="28"/>
        </w:rPr>
        <w:t>Other GDPR Documents and Forms</w:t>
      </w:r>
    </w:p>
    <w:p w14:paraId="5B39D8E5" w14:textId="77777777" w:rsidR="004628BB" w:rsidRDefault="004628BB">
      <w:pPr>
        <w:pStyle w:val="ListParagraph"/>
        <w:rPr>
          <w:rFonts w:asciiTheme="minorHAnsi" w:eastAsia="MS Gothic" w:hAnsiTheme="minorHAnsi" w:cstheme="minorHAnsi"/>
          <w:b/>
          <w:bCs/>
          <w:sz w:val="28"/>
          <w:szCs w:val="28"/>
        </w:rPr>
      </w:pPr>
    </w:p>
    <w:p w14:paraId="5B39D8E6" w14:textId="77777777" w:rsidR="004628BB" w:rsidRDefault="002C5754">
      <w:pPr>
        <w:pStyle w:val="ListParagraph"/>
        <w:numPr>
          <w:ilvl w:val="0"/>
          <w:numId w:val="1"/>
        </w:numPr>
        <w:rPr>
          <w:rFonts w:asciiTheme="minorHAnsi" w:eastAsia="MS Gothic" w:hAnsiTheme="minorHAnsi" w:cstheme="minorHAnsi"/>
          <w:b/>
          <w:bCs/>
          <w:sz w:val="28"/>
          <w:szCs w:val="28"/>
        </w:rPr>
      </w:pPr>
      <w:r>
        <w:rPr>
          <w:rFonts w:asciiTheme="minorHAnsi" w:eastAsia="MS Gothic" w:hAnsiTheme="minorHAnsi" w:cstheme="minorHAnsi"/>
          <w:b/>
          <w:bCs/>
          <w:sz w:val="28"/>
          <w:szCs w:val="28"/>
        </w:rPr>
        <w:t xml:space="preserve"> Training</w:t>
      </w:r>
    </w:p>
    <w:p w14:paraId="5B39D8E7" w14:textId="77777777" w:rsidR="004628BB" w:rsidRDefault="004628BB">
      <w:pPr>
        <w:pStyle w:val="ListParagraph"/>
        <w:rPr>
          <w:rFonts w:asciiTheme="minorHAnsi" w:eastAsia="MS Gothic" w:hAnsiTheme="minorHAnsi" w:cstheme="minorHAnsi"/>
          <w:b/>
          <w:bCs/>
          <w:sz w:val="28"/>
          <w:szCs w:val="28"/>
        </w:rPr>
      </w:pPr>
    </w:p>
    <w:p w14:paraId="5B39D8E8" w14:textId="77777777" w:rsidR="004628BB" w:rsidRDefault="002C5754">
      <w:pPr>
        <w:pStyle w:val="ListParagraph"/>
        <w:numPr>
          <w:ilvl w:val="0"/>
          <w:numId w:val="1"/>
        </w:numPr>
        <w:rPr>
          <w:rFonts w:asciiTheme="minorHAnsi" w:eastAsia="MS Gothic" w:hAnsiTheme="minorHAnsi" w:cstheme="minorHAnsi"/>
          <w:b/>
          <w:bCs/>
          <w:sz w:val="28"/>
          <w:szCs w:val="28"/>
        </w:rPr>
      </w:pPr>
      <w:r>
        <w:rPr>
          <w:rFonts w:asciiTheme="minorHAnsi" w:eastAsia="MS Gothic" w:hAnsiTheme="minorHAnsi" w:cstheme="minorHAnsi"/>
          <w:b/>
          <w:bCs/>
          <w:sz w:val="28"/>
          <w:szCs w:val="28"/>
        </w:rPr>
        <w:t xml:space="preserve"> Review</w:t>
      </w:r>
    </w:p>
    <w:p w14:paraId="5B39D8E9" w14:textId="77777777" w:rsidR="004628BB" w:rsidRDefault="004628BB">
      <w:pPr>
        <w:pStyle w:val="ListParagraph"/>
        <w:rPr>
          <w:rFonts w:asciiTheme="minorHAnsi" w:eastAsia="MS Gothic" w:hAnsiTheme="minorHAnsi" w:cstheme="minorHAnsi"/>
          <w:b/>
          <w:bCs/>
          <w:sz w:val="28"/>
          <w:szCs w:val="28"/>
        </w:rPr>
      </w:pPr>
    </w:p>
    <w:p w14:paraId="5B39D8EA" w14:textId="77777777" w:rsidR="004628BB" w:rsidRDefault="002C5754">
      <w:pPr>
        <w:pStyle w:val="ListParagraph"/>
        <w:numPr>
          <w:ilvl w:val="0"/>
          <w:numId w:val="1"/>
        </w:numPr>
        <w:rPr>
          <w:rFonts w:asciiTheme="minorHAnsi" w:eastAsia="MS Gothic" w:hAnsiTheme="minorHAnsi" w:cstheme="minorHAnsi"/>
          <w:b/>
          <w:bCs/>
          <w:sz w:val="28"/>
          <w:szCs w:val="28"/>
        </w:rPr>
      </w:pPr>
      <w:r>
        <w:rPr>
          <w:rFonts w:asciiTheme="minorHAnsi" w:eastAsia="MS Gothic" w:hAnsiTheme="minorHAnsi" w:cstheme="minorHAnsi"/>
          <w:b/>
          <w:bCs/>
          <w:sz w:val="28"/>
          <w:szCs w:val="28"/>
        </w:rPr>
        <w:t xml:space="preserve"> Transfer of personal data to processors established in third </w:t>
      </w:r>
      <w:proofErr w:type="gramStart"/>
      <w:r>
        <w:rPr>
          <w:rFonts w:asciiTheme="minorHAnsi" w:eastAsia="MS Gothic" w:hAnsiTheme="minorHAnsi" w:cstheme="minorHAnsi"/>
          <w:b/>
          <w:bCs/>
          <w:sz w:val="28"/>
          <w:szCs w:val="28"/>
        </w:rPr>
        <w:t>countries</w:t>
      </w:r>
      <w:proofErr w:type="gramEnd"/>
    </w:p>
    <w:p w14:paraId="5B39D8EB" w14:textId="77777777" w:rsidR="004628BB" w:rsidRDefault="004628BB">
      <w:pPr>
        <w:pStyle w:val="NormalWeb"/>
        <w:spacing w:before="0" w:beforeAutospacing="0" w:after="240" w:afterAutospacing="0"/>
        <w:rPr>
          <w:rFonts w:asciiTheme="minorHAnsi" w:eastAsia="MS Gothic" w:hAnsiTheme="minorHAnsi" w:cstheme="minorHAnsi"/>
          <w:b/>
          <w:bCs/>
          <w:color w:val="000000"/>
          <w:sz w:val="28"/>
          <w:szCs w:val="28"/>
        </w:rPr>
      </w:pPr>
    </w:p>
    <w:p w14:paraId="5B39D8EC" w14:textId="77777777" w:rsidR="004628BB" w:rsidRDefault="004628BB">
      <w:pPr>
        <w:pStyle w:val="NormalWeb"/>
        <w:shd w:val="clear" w:color="auto" w:fill="FFFFFF"/>
        <w:spacing w:before="0" w:beforeAutospacing="0" w:after="240" w:afterAutospacing="0"/>
        <w:rPr>
          <w:rFonts w:asciiTheme="minorHAnsi" w:hAnsiTheme="minorHAnsi" w:cstheme="minorHAnsi"/>
          <w:color w:val="000000"/>
        </w:rPr>
      </w:pPr>
    </w:p>
    <w:p w14:paraId="5B39D8ED" w14:textId="77777777" w:rsidR="004628BB" w:rsidRDefault="002C5754">
      <w:pPr>
        <w:spacing w:after="288"/>
        <w:rPr>
          <w:rFonts w:asciiTheme="minorHAnsi" w:hAnsiTheme="minorHAnsi" w:cstheme="minorHAnsi"/>
          <w:b/>
          <w:bCs/>
          <w:color w:val="222222"/>
          <w:sz w:val="28"/>
          <w:szCs w:val="28"/>
        </w:rPr>
      </w:pPr>
      <w:r>
        <w:rPr>
          <w:rFonts w:asciiTheme="minorHAnsi" w:hAnsiTheme="minorHAnsi" w:cstheme="minorHAnsi"/>
          <w:b/>
          <w:bCs/>
          <w:color w:val="222222"/>
          <w:sz w:val="28"/>
          <w:szCs w:val="28"/>
        </w:rPr>
        <w:t>1) Introduction and Overview</w:t>
      </w:r>
    </w:p>
    <w:p w14:paraId="5B39D8EE" w14:textId="77777777" w:rsidR="004628BB" w:rsidRDefault="002C5754">
      <w:pPr>
        <w:spacing w:before="100" w:beforeAutospacing="1" w:after="100" w:afterAutospacing="1"/>
        <w:rPr>
          <w:rFonts w:asciiTheme="minorHAnsi" w:hAnsiTheme="minorHAnsi" w:cstheme="minorHAnsi"/>
          <w:lang w:val="en"/>
        </w:rPr>
      </w:pPr>
      <w:r>
        <w:rPr>
          <w:rStyle w:val="Strong"/>
          <w:rFonts w:asciiTheme="minorHAnsi" w:hAnsiTheme="minorHAnsi" w:cstheme="minorHAnsi"/>
          <w:color w:val="555555"/>
          <w:u w:val="single"/>
        </w:rPr>
        <w:br/>
      </w:r>
      <w:r>
        <w:rPr>
          <w:rFonts w:asciiTheme="minorHAnsi" w:hAnsiTheme="minorHAnsi" w:cstheme="minorHAnsi"/>
          <w:lang w:val="en"/>
        </w:rPr>
        <w:t xml:space="preserve">The Data Protection Act 1998 (DPA) has regulated the </w:t>
      </w:r>
      <w:r>
        <w:rPr>
          <w:rFonts w:asciiTheme="minorHAnsi" w:hAnsiTheme="minorHAnsi" w:cstheme="minorHAnsi"/>
          <w:lang w:val="en"/>
        </w:rPr>
        <w:t>processing of personal data in any format by the company, including both digital and hard copy personal data and all other formats.  ‘Personal data’ is any information relating to a living individual, and 'processing' is any activity carried out involving personal data, including holding and storing it. </w:t>
      </w:r>
    </w:p>
    <w:p w14:paraId="5B39D8EF"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lang w:val="en"/>
        </w:rPr>
        <w:t>On 25</w:t>
      </w:r>
      <w:r>
        <w:rPr>
          <w:rFonts w:asciiTheme="minorHAnsi" w:hAnsiTheme="minorHAnsi" w:cstheme="minorHAnsi"/>
          <w:vertAlign w:val="superscript"/>
          <w:lang w:val="en"/>
        </w:rPr>
        <w:t>th</w:t>
      </w:r>
      <w:r>
        <w:rPr>
          <w:rFonts w:asciiTheme="minorHAnsi" w:hAnsiTheme="minorHAnsi" w:cstheme="minorHAnsi"/>
          <w:lang w:val="en"/>
        </w:rPr>
        <w:t xml:space="preserve"> May 2018 the DPA was superseded in the UK by the General Data Protection Regulation (GDPR), which provides individuals with enhanced rights, and imposes </w:t>
      </w:r>
      <w:r>
        <w:rPr>
          <w:rFonts w:asciiTheme="minorHAnsi" w:hAnsiTheme="minorHAnsi" w:cstheme="minorHAnsi"/>
          <w:lang w:val="en"/>
        </w:rPr>
        <w:lastRenderedPageBreak/>
        <w:t>increased responsibilities on organisations processing personal data.  This statement applies under both the DPA and GDPR.</w:t>
      </w:r>
    </w:p>
    <w:p w14:paraId="5B39D8F0" w14:textId="77777777" w:rsidR="004628BB" w:rsidRDefault="002C5754">
      <w:pPr>
        <w:spacing w:after="288"/>
        <w:rPr>
          <w:rFonts w:asciiTheme="minorHAnsi" w:hAnsiTheme="minorHAnsi" w:cstheme="minorHAnsi"/>
          <w:lang w:val="en"/>
        </w:rPr>
      </w:pPr>
      <w:r>
        <w:rPr>
          <w:rFonts w:asciiTheme="minorHAnsi" w:hAnsiTheme="minorHAnsi" w:cstheme="minorHAnsi"/>
          <w:lang w:val="en"/>
        </w:rPr>
        <w:t xml:space="preserve">This </w:t>
      </w:r>
      <w:r>
        <w:rPr>
          <w:rFonts w:asciiTheme="minorHAnsi" w:hAnsiTheme="minorHAnsi" w:cstheme="minorHAnsi"/>
          <w:i/>
          <w:iCs/>
          <w:lang w:val="en"/>
        </w:rPr>
        <w:t>Policy &amp; Procedures Document</w:t>
      </w:r>
      <w:r>
        <w:rPr>
          <w:rFonts w:asciiTheme="minorHAnsi" w:hAnsiTheme="minorHAnsi" w:cstheme="minorHAnsi"/>
          <w:lang w:val="en"/>
        </w:rPr>
        <w:t xml:space="preserve"> establishes </w:t>
      </w:r>
      <w:r>
        <w:rPr>
          <w:rFonts w:asciiTheme="minorHAnsi" w:hAnsiTheme="minorHAnsi" w:cstheme="minorHAnsi"/>
          <w:b/>
          <w:bCs/>
          <w:lang w:val="en"/>
        </w:rPr>
        <w:t>Strive Training (London) Limited</w:t>
      </w:r>
      <w:r>
        <w:rPr>
          <w:rFonts w:asciiTheme="minorHAnsi" w:hAnsiTheme="minorHAnsi" w:cstheme="minorHAnsi"/>
          <w:lang w:val="en"/>
        </w:rPr>
        <w:t xml:space="preserve"> procedures governing the collection and release of personal data and is provided to all whose data is held and all who manage and administer this data.</w:t>
      </w:r>
    </w:p>
    <w:p w14:paraId="5B39D8F1" w14:textId="77777777" w:rsidR="004628BB" w:rsidRDefault="002C5754">
      <w:pPr>
        <w:spacing w:after="288"/>
        <w:rPr>
          <w:rFonts w:asciiTheme="minorHAnsi" w:hAnsiTheme="minorHAnsi" w:cstheme="minorHAnsi"/>
          <w:b/>
          <w:bCs/>
          <w:color w:val="000000" w:themeColor="text1"/>
          <w:u w:val="single"/>
        </w:rPr>
      </w:pPr>
      <w:r>
        <w:rPr>
          <w:rStyle w:val="Strong"/>
          <w:rFonts w:asciiTheme="minorHAnsi" w:hAnsiTheme="minorHAnsi" w:cstheme="minorHAnsi"/>
          <w:b w:val="0"/>
          <w:color w:val="000000" w:themeColor="text1"/>
        </w:rPr>
        <w:t>The recent data protection legislation (GDPR Act and EU GDPR legislation)</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provide</w:t>
      </w:r>
      <w:proofErr w:type="gramEnd"/>
      <w:r>
        <w:rPr>
          <w:rFonts w:asciiTheme="minorHAnsi" w:hAnsiTheme="minorHAnsi" w:cstheme="minorHAnsi"/>
          <w:color w:val="000000" w:themeColor="text1"/>
        </w:rPr>
        <w:t>. greater clarity on the legitimate holding and viewing of personal information. The EU legislation harmonises data protection laws across the EU and a limited number of other countries.</w:t>
      </w:r>
    </w:p>
    <w:p w14:paraId="5B39D8F2" w14:textId="77777777" w:rsidR="004628BB" w:rsidRDefault="002C5754">
      <w:pPr>
        <w:spacing w:after="288"/>
        <w:rPr>
          <w:rFonts w:asciiTheme="minorHAnsi" w:hAnsiTheme="minorHAnsi" w:cstheme="minorHAnsi"/>
          <w:color w:val="000000" w:themeColor="text1"/>
        </w:rPr>
      </w:pPr>
      <w:r>
        <w:rPr>
          <w:rFonts w:asciiTheme="minorHAnsi" w:hAnsiTheme="minorHAnsi" w:cstheme="minorHAnsi"/>
          <w:color w:val="000000" w:themeColor="text1"/>
        </w:rPr>
        <w:t xml:space="preserve">GDPR Law does not only apply to EU companies, but to any company processing the personal data of individuals in the EU in relation to offering goods or services, or to monitoring their </w:t>
      </w:r>
      <w:r>
        <w:rPr>
          <w:rFonts w:asciiTheme="minorHAnsi" w:hAnsiTheme="minorHAnsi" w:cstheme="minorHAnsi"/>
          <w:color w:val="000000" w:themeColor="text1"/>
        </w:rPr>
        <w:t>behaviour.</w:t>
      </w:r>
    </w:p>
    <w:p w14:paraId="5B39D8F3" w14:textId="77777777" w:rsidR="004628BB" w:rsidRDefault="002C5754">
      <w:pPr>
        <w:spacing w:after="288"/>
        <w:rPr>
          <w:rFonts w:asciiTheme="minorHAnsi" w:hAnsiTheme="minorHAnsi" w:cstheme="minorHAnsi"/>
          <w:color w:val="000000" w:themeColor="text1"/>
        </w:rPr>
      </w:pPr>
      <w:r>
        <w:rPr>
          <w:rFonts w:asciiTheme="minorHAnsi" w:hAnsiTheme="minorHAnsi" w:cstheme="minorHAnsi"/>
          <w:color w:val="000000" w:themeColor="text1"/>
        </w:rPr>
        <w:t>This document includes the company GDPR policy and procedures.</w:t>
      </w:r>
    </w:p>
    <w:p w14:paraId="5B39D8F4" w14:textId="77777777" w:rsidR="004628BB" w:rsidRDefault="002C5754">
      <w:pPr>
        <w:spacing w:after="288"/>
        <w:rPr>
          <w:rFonts w:asciiTheme="minorHAnsi" w:hAnsiTheme="minorHAnsi" w:cstheme="minorHAnsi"/>
          <w:color w:val="000000" w:themeColor="text1"/>
        </w:rPr>
      </w:pPr>
      <w:r>
        <w:rPr>
          <w:rFonts w:asciiTheme="minorHAnsi" w:hAnsiTheme="minorHAnsi" w:cstheme="minorHAnsi"/>
          <w:color w:val="000000" w:themeColor="text1"/>
        </w:rPr>
        <w:t xml:space="preserve">For the purposes of this document, “data” means personal, supplier and customer information held within the </w:t>
      </w:r>
      <w:proofErr w:type="gramStart"/>
      <w:r>
        <w:rPr>
          <w:rFonts w:asciiTheme="minorHAnsi" w:hAnsiTheme="minorHAnsi" w:cstheme="minorHAnsi"/>
          <w:color w:val="000000" w:themeColor="text1"/>
        </w:rPr>
        <w:t>company;</w:t>
      </w:r>
      <w:proofErr w:type="gramEnd"/>
      <w:r>
        <w:rPr>
          <w:rFonts w:asciiTheme="minorHAnsi" w:hAnsiTheme="minorHAnsi" w:cstheme="minorHAnsi"/>
          <w:color w:val="000000" w:themeColor="text1"/>
        </w:rPr>
        <w:t xml:space="preserve"> in particular HR, Student Enrolments, Marketing, and Accounts.</w:t>
      </w:r>
    </w:p>
    <w:p w14:paraId="5B39D8F5" w14:textId="77777777" w:rsidR="004628BB" w:rsidRDefault="002C5754">
      <w:pPr>
        <w:spacing w:after="288"/>
        <w:rPr>
          <w:rFonts w:asciiTheme="minorHAnsi" w:hAnsiTheme="minorHAnsi" w:cstheme="minorHAnsi"/>
          <w:color w:val="000000" w:themeColor="text1"/>
        </w:rPr>
      </w:pPr>
      <w:r>
        <w:rPr>
          <w:rFonts w:asciiTheme="minorHAnsi" w:hAnsiTheme="minorHAnsi" w:cstheme="minorHAnsi"/>
          <w:color w:val="000000" w:themeColor="text1"/>
        </w:rPr>
        <w:t>GDPR policy and procedure documents should be written in plain language and easy to read by those with no prior knowledge of the subject. GDPR documents should contain a minimum of specialist terminology.</w:t>
      </w:r>
    </w:p>
    <w:p w14:paraId="5B39D8F6" w14:textId="77777777" w:rsidR="004628BB" w:rsidRDefault="004628BB">
      <w:pPr>
        <w:spacing w:after="288"/>
        <w:rPr>
          <w:rFonts w:asciiTheme="minorHAnsi" w:hAnsiTheme="minorHAnsi" w:cstheme="minorHAnsi"/>
          <w:color w:val="000000" w:themeColor="text1"/>
        </w:rPr>
      </w:pPr>
    </w:p>
    <w:p w14:paraId="5B39D8F7" w14:textId="77777777" w:rsidR="004628BB" w:rsidRDefault="004628BB">
      <w:pPr>
        <w:spacing w:after="288"/>
        <w:rPr>
          <w:rFonts w:asciiTheme="minorHAnsi" w:hAnsiTheme="minorHAnsi" w:cstheme="minorHAnsi"/>
          <w:b/>
          <w:color w:val="000000" w:themeColor="text1"/>
        </w:rPr>
      </w:pPr>
    </w:p>
    <w:p w14:paraId="5B39D8F8" w14:textId="77777777" w:rsidR="004628BB" w:rsidRDefault="004628BB">
      <w:pPr>
        <w:spacing w:after="288"/>
        <w:rPr>
          <w:rFonts w:asciiTheme="minorHAnsi" w:hAnsiTheme="minorHAnsi" w:cstheme="minorHAnsi"/>
          <w:b/>
          <w:color w:val="000000" w:themeColor="text1"/>
        </w:rPr>
      </w:pPr>
    </w:p>
    <w:p w14:paraId="5B39D8F9" w14:textId="77777777" w:rsidR="004628BB" w:rsidRDefault="004628BB">
      <w:pPr>
        <w:spacing w:after="288"/>
        <w:rPr>
          <w:rFonts w:asciiTheme="minorHAnsi" w:hAnsiTheme="minorHAnsi" w:cstheme="minorHAnsi"/>
          <w:b/>
          <w:color w:val="000000" w:themeColor="text1"/>
        </w:rPr>
      </w:pPr>
    </w:p>
    <w:p w14:paraId="5B39D8FA" w14:textId="77777777" w:rsidR="004628BB" w:rsidRDefault="002C5754">
      <w:pPr>
        <w:spacing w:after="288"/>
        <w:rPr>
          <w:rFonts w:asciiTheme="minorHAnsi" w:hAnsiTheme="minorHAnsi" w:cstheme="minorHAnsi"/>
          <w:b/>
          <w:color w:val="000000" w:themeColor="text1"/>
        </w:rPr>
      </w:pPr>
      <w:r>
        <w:rPr>
          <w:rFonts w:asciiTheme="minorHAnsi" w:hAnsiTheme="minorHAnsi" w:cstheme="minorHAnsi"/>
          <w:b/>
          <w:color w:val="000000" w:themeColor="text1"/>
        </w:rPr>
        <w:t>What is Personal Data?</w:t>
      </w:r>
      <w:r>
        <w:rPr>
          <w:rFonts w:asciiTheme="minorHAnsi" w:hAnsiTheme="minorHAnsi" w:cstheme="minorHAnsi"/>
          <w:b/>
          <w:color w:val="000000" w:themeColor="text1"/>
        </w:rPr>
        <w:br/>
      </w:r>
      <w:r>
        <w:rPr>
          <w:rFonts w:asciiTheme="minorHAnsi" w:hAnsiTheme="minorHAnsi" w:cstheme="minorHAnsi"/>
          <w:b/>
          <w:color w:val="000000" w:themeColor="text1"/>
        </w:rPr>
        <w:br/>
      </w:r>
      <w:r>
        <w:rPr>
          <w:rFonts w:asciiTheme="minorHAnsi" w:hAnsiTheme="minorHAnsi" w:cstheme="minorHAnsi"/>
        </w:rPr>
        <w:t xml:space="preserve">GDPR law applies to living individuals defined as “Natural Person”; Personal data is any information that allows the “Natural Person” to be </w:t>
      </w:r>
      <w:proofErr w:type="gramStart"/>
      <w:r>
        <w:rPr>
          <w:rFonts w:asciiTheme="minorHAnsi" w:hAnsiTheme="minorHAnsi" w:cstheme="minorHAnsi"/>
        </w:rPr>
        <w:t>identified</w:t>
      </w:r>
      <w:proofErr w:type="gramEnd"/>
    </w:p>
    <w:p w14:paraId="5B39D8FB" w14:textId="77777777" w:rsidR="004628BB" w:rsidRDefault="002C5754">
      <w:pPr>
        <w:rPr>
          <w:rFonts w:asciiTheme="minorHAnsi" w:hAnsiTheme="minorHAnsi" w:cstheme="minorHAnsi"/>
        </w:rPr>
      </w:pPr>
      <w:r>
        <w:rPr>
          <w:rFonts w:asciiTheme="minorHAnsi" w:hAnsiTheme="minorHAnsi" w:cstheme="minorHAnsi"/>
        </w:rPr>
        <w:t xml:space="preserve">Personal data includes personally identifiable information in locations such </w:t>
      </w:r>
      <w:proofErr w:type="gramStart"/>
      <w:r>
        <w:rPr>
          <w:rFonts w:asciiTheme="minorHAnsi" w:hAnsiTheme="minorHAnsi" w:cstheme="minorHAnsi"/>
        </w:rPr>
        <w:t>as;</w:t>
      </w:r>
      <w:proofErr w:type="gramEnd"/>
      <w:r>
        <w:rPr>
          <w:rFonts w:asciiTheme="minorHAnsi" w:hAnsiTheme="minorHAnsi" w:cstheme="minorHAnsi"/>
        </w:rPr>
        <w:t xml:space="preserve"> CRM, MIS, HR Software, Newsletters, Filing systems, marketing lists.</w:t>
      </w:r>
    </w:p>
    <w:p w14:paraId="5B39D8FC" w14:textId="77777777" w:rsidR="004628BB" w:rsidRDefault="004628BB">
      <w:pPr>
        <w:rPr>
          <w:rFonts w:asciiTheme="minorHAnsi" w:hAnsiTheme="minorHAnsi" w:cstheme="minorHAnsi"/>
          <w:color w:val="4F81BD" w:themeColor="accent1"/>
          <w:lang w:val="en"/>
        </w:rPr>
      </w:pPr>
    </w:p>
    <w:p w14:paraId="5B39D8FD" w14:textId="77777777" w:rsidR="004628BB" w:rsidRDefault="002C5754">
      <w:pPr>
        <w:jc w:val="both"/>
        <w:rPr>
          <w:rFonts w:asciiTheme="minorHAnsi" w:hAnsiTheme="minorHAnsi" w:cstheme="minorHAnsi"/>
          <w:lang w:val="en"/>
        </w:rPr>
      </w:pPr>
      <w:r>
        <w:rPr>
          <w:rFonts w:asciiTheme="minorHAnsi" w:hAnsiTheme="minorHAnsi" w:cstheme="minorHAnsi"/>
          <w:lang w:val="en"/>
        </w:rPr>
        <w:t xml:space="preserve">Student personal data is collected and processed by Strive Training as it is necessary for the performance of the contract under which Strive Training provides services to students.  </w:t>
      </w:r>
    </w:p>
    <w:p w14:paraId="5B39D8FE" w14:textId="77777777" w:rsidR="004628BB" w:rsidRDefault="004628BB">
      <w:pPr>
        <w:jc w:val="both"/>
        <w:rPr>
          <w:rFonts w:asciiTheme="minorHAnsi" w:hAnsiTheme="minorHAnsi" w:cstheme="minorHAnsi"/>
          <w:lang w:val="en"/>
        </w:rPr>
      </w:pPr>
    </w:p>
    <w:p w14:paraId="5B39D8FF" w14:textId="77777777" w:rsidR="004628BB" w:rsidRDefault="002C5754">
      <w:pPr>
        <w:jc w:val="both"/>
        <w:rPr>
          <w:rFonts w:asciiTheme="minorHAnsi" w:hAnsiTheme="minorHAnsi" w:cstheme="minorHAnsi"/>
          <w:lang w:val="en"/>
        </w:rPr>
      </w:pPr>
      <w:r>
        <w:rPr>
          <w:rFonts w:asciiTheme="minorHAnsi" w:hAnsiTheme="minorHAnsi" w:cstheme="minorHAnsi"/>
          <w:lang w:val="en"/>
        </w:rPr>
        <w:lastRenderedPageBreak/>
        <w:t>Some processing activities may also be carried out under a legal obligation (for example, disclosing personal data to external parties under statutory powers), where it is necessary to protect the vital interests of the student or another party (for example, disclosures to external parties to ensure the safety and wellbeing of individuals), where it is necessary for the performance of a task carried out in the public interest or in the exercise of official authority (for example, collecting or disclosing in</w:t>
      </w:r>
      <w:r>
        <w:rPr>
          <w:rFonts w:asciiTheme="minorHAnsi" w:hAnsiTheme="minorHAnsi" w:cstheme="minorHAnsi"/>
          <w:lang w:val="en"/>
        </w:rPr>
        <w:t>formation in order to meet regulatory or statutory requirements), or where it is necessary for legitimate interests pursued by Strive Training or a third party (the legitimate interests will relate to the efficient, lawful and proportionate delivery of services and will not be to the detriment of the interests or rights of individuals). </w:t>
      </w:r>
    </w:p>
    <w:p w14:paraId="5B39D900" w14:textId="77777777" w:rsidR="004628BB" w:rsidRDefault="004628BB">
      <w:pPr>
        <w:jc w:val="both"/>
        <w:rPr>
          <w:rFonts w:asciiTheme="minorHAnsi" w:hAnsiTheme="minorHAnsi" w:cstheme="minorHAnsi"/>
          <w:lang w:val="en"/>
        </w:rPr>
      </w:pPr>
    </w:p>
    <w:p w14:paraId="5B39D901" w14:textId="77777777" w:rsidR="004628BB" w:rsidRDefault="002C5754">
      <w:pPr>
        <w:jc w:val="both"/>
        <w:rPr>
          <w:rFonts w:asciiTheme="minorHAnsi" w:hAnsiTheme="minorHAnsi" w:cstheme="minorHAnsi"/>
        </w:rPr>
      </w:pPr>
      <w:r>
        <w:rPr>
          <w:rFonts w:asciiTheme="minorHAnsi" w:hAnsiTheme="minorHAnsi" w:cstheme="minorHAnsi"/>
          <w:lang w:val="en"/>
        </w:rPr>
        <w:t>Where any of these legal bases do not apply, the consent of an individual to process their personal data will be sought. </w:t>
      </w:r>
    </w:p>
    <w:p w14:paraId="5B39D902" w14:textId="77777777" w:rsidR="004628BB" w:rsidRDefault="004628BB">
      <w:pPr>
        <w:autoSpaceDE w:val="0"/>
        <w:autoSpaceDN w:val="0"/>
        <w:adjustRightInd w:val="0"/>
        <w:rPr>
          <w:rFonts w:asciiTheme="minorHAnsi" w:hAnsiTheme="minorHAnsi" w:cstheme="minorHAnsi"/>
          <w:b/>
          <w:color w:val="000000" w:themeColor="text1"/>
        </w:rPr>
      </w:pPr>
    </w:p>
    <w:p w14:paraId="5B39D903" w14:textId="77777777" w:rsidR="004628BB" w:rsidRDefault="002C5754">
      <w:pPr>
        <w:autoSpaceDE w:val="0"/>
        <w:autoSpaceDN w:val="0"/>
        <w:adjustRightInd w:val="0"/>
        <w:rPr>
          <w:rFonts w:asciiTheme="minorHAnsi" w:hAnsiTheme="minorHAnsi" w:cstheme="minorHAnsi"/>
          <w:b/>
        </w:rPr>
      </w:pPr>
      <w:r>
        <w:rPr>
          <w:rFonts w:asciiTheme="minorHAnsi" w:hAnsiTheme="minorHAnsi" w:cstheme="minorHAnsi"/>
          <w:b/>
        </w:rPr>
        <w:t>Privacy risk</w:t>
      </w:r>
      <w:r>
        <w:rPr>
          <w:rFonts w:asciiTheme="minorHAnsi" w:hAnsiTheme="minorHAnsi" w:cstheme="minorHAnsi"/>
          <w:b/>
        </w:rPr>
        <w:br/>
      </w:r>
    </w:p>
    <w:p w14:paraId="5B39D904" w14:textId="77777777" w:rsidR="004628BB" w:rsidRDefault="002C5754">
      <w:pPr>
        <w:autoSpaceDE w:val="0"/>
        <w:autoSpaceDN w:val="0"/>
        <w:adjustRightInd w:val="0"/>
        <w:rPr>
          <w:rFonts w:asciiTheme="minorHAnsi" w:hAnsiTheme="minorHAnsi" w:cstheme="minorHAnsi"/>
        </w:rPr>
      </w:pPr>
      <w:r>
        <w:rPr>
          <w:rFonts w:asciiTheme="minorHAnsi" w:hAnsiTheme="minorHAnsi" w:cstheme="minorHAnsi"/>
        </w:rPr>
        <w:t xml:space="preserve">Privacy risk is the risk of harm arising through an intrusion into privacy. This </w:t>
      </w:r>
      <w:r>
        <w:rPr>
          <w:rFonts w:asciiTheme="minorHAnsi" w:hAnsiTheme="minorHAnsi" w:cstheme="minorHAnsi"/>
        </w:rPr>
        <w:t>code is concerned primarily with minimising the risk of informational privacy - the risk of harm through use or misuse of personal information. Some of the ways this risk can arise is through personal information being:</w:t>
      </w:r>
    </w:p>
    <w:p w14:paraId="5B39D905" w14:textId="77777777" w:rsidR="004628BB" w:rsidRDefault="004628BB">
      <w:pPr>
        <w:autoSpaceDE w:val="0"/>
        <w:autoSpaceDN w:val="0"/>
        <w:adjustRightInd w:val="0"/>
        <w:rPr>
          <w:rFonts w:asciiTheme="minorHAnsi" w:hAnsiTheme="minorHAnsi" w:cstheme="minorHAnsi"/>
        </w:rPr>
      </w:pPr>
    </w:p>
    <w:p w14:paraId="5B39D906" w14:textId="77777777" w:rsidR="004628BB" w:rsidRDefault="002C5754">
      <w:pPr>
        <w:pStyle w:val="ListParagraph"/>
        <w:numPr>
          <w:ilvl w:val="0"/>
          <w:numId w:val="2"/>
        </w:numPr>
        <w:autoSpaceDE w:val="0"/>
        <w:autoSpaceDN w:val="0"/>
        <w:adjustRightInd w:val="0"/>
        <w:rPr>
          <w:rFonts w:asciiTheme="minorHAnsi" w:hAnsiTheme="minorHAnsi" w:cstheme="minorHAnsi"/>
        </w:rPr>
      </w:pPr>
      <w:r>
        <w:rPr>
          <w:rFonts w:asciiTheme="minorHAnsi" w:hAnsiTheme="minorHAnsi" w:cstheme="minorHAnsi"/>
        </w:rPr>
        <w:t xml:space="preserve">Inaccurate, insufficient or out of </w:t>
      </w:r>
      <w:proofErr w:type="gramStart"/>
      <w:r>
        <w:rPr>
          <w:rFonts w:asciiTheme="minorHAnsi" w:hAnsiTheme="minorHAnsi" w:cstheme="minorHAnsi"/>
        </w:rPr>
        <w:t>date;</w:t>
      </w:r>
      <w:proofErr w:type="gramEnd"/>
    </w:p>
    <w:p w14:paraId="5B39D907" w14:textId="77777777" w:rsidR="004628BB" w:rsidRDefault="002C5754">
      <w:pPr>
        <w:pStyle w:val="ListParagraph"/>
        <w:numPr>
          <w:ilvl w:val="0"/>
          <w:numId w:val="2"/>
        </w:numPr>
        <w:autoSpaceDE w:val="0"/>
        <w:autoSpaceDN w:val="0"/>
        <w:adjustRightInd w:val="0"/>
        <w:rPr>
          <w:rFonts w:asciiTheme="minorHAnsi" w:hAnsiTheme="minorHAnsi" w:cstheme="minorHAnsi"/>
        </w:rPr>
      </w:pPr>
      <w:r>
        <w:rPr>
          <w:rFonts w:asciiTheme="minorHAnsi" w:hAnsiTheme="minorHAnsi" w:cstheme="minorHAnsi"/>
        </w:rPr>
        <w:t xml:space="preserve">Excessive or </w:t>
      </w:r>
      <w:proofErr w:type="gramStart"/>
      <w:r>
        <w:rPr>
          <w:rFonts w:asciiTheme="minorHAnsi" w:hAnsiTheme="minorHAnsi" w:cstheme="minorHAnsi"/>
        </w:rPr>
        <w:t>irrelevant;</w:t>
      </w:r>
      <w:proofErr w:type="gramEnd"/>
    </w:p>
    <w:p w14:paraId="5B39D908" w14:textId="77777777" w:rsidR="004628BB" w:rsidRDefault="002C5754">
      <w:pPr>
        <w:pStyle w:val="ListParagraph"/>
        <w:numPr>
          <w:ilvl w:val="0"/>
          <w:numId w:val="2"/>
        </w:numPr>
        <w:autoSpaceDE w:val="0"/>
        <w:autoSpaceDN w:val="0"/>
        <w:adjustRightInd w:val="0"/>
        <w:rPr>
          <w:rFonts w:asciiTheme="minorHAnsi" w:hAnsiTheme="minorHAnsi" w:cstheme="minorHAnsi"/>
        </w:rPr>
      </w:pPr>
      <w:r>
        <w:rPr>
          <w:rFonts w:asciiTheme="minorHAnsi" w:hAnsiTheme="minorHAnsi" w:cstheme="minorHAnsi"/>
        </w:rPr>
        <w:t xml:space="preserve">Kept for too </w:t>
      </w:r>
      <w:proofErr w:type="gramStart"/>
      <w:r>
        <w:rPr>
          <w:rFonts w:asciiTheme="minorHAnsi" w:hAnsiTheme="minorHAnsi" w:cstheme="minorHAnsi"/>
        </w:rPr>
        <w:t>long;</w:t>
      </w:r>
      <w:proofErr w:type="gramEnd"/>
    </w:p>
    <w:p w14:paraId="5B39D909" w14:textId="77777777" w:rsidR="004628BB" w:rsidRDefault="002C5754">
      <w:pPr>
        <w:pStyle w:val="ListParagraph"/>
        <w:numPr>
          <w:ilvl w:val="0"/>
          <w:numId w:val="2"/>
        </w:numPr>
        <w:autoSpaceDE w:val="0"/>
        <w:autoSpaceDN w:val="0"/>
        <w:adjustRightInd w:val="0"/>
        <w:rPr>
          <w:rFonts w:asciiTheme="minorHAnsi" w:hAnsiTheme="minorHAnsi" w:cstheme="minorHAnsi"/>
        </w:rPr>
      </w:pPr>
      <w:r>
        <w:rPr>
          <w:rFonts w:asciiTheme="minorHAnsi" w:hAnsiTheme="minorHAnsi" w:cstheme="minorHAnsi"/>
        </w:rPr>
        <w:t xml:space="preserve">Disclosed to those who the person it is about does not want to have </w:t>
      </w:r>
      <w:proofErr w:type="gramStart"/>
      <w:r>
        <w:rPr>
          <w:rFonts w:asciiTheme="minorHAnsi" w:hAnsiTheme="minorHAnsi" w:cstheme="minorHAnsi"/>
        </w:rPr>
        <w:t>it;</w:t>
      </w:r>
      <w:proofErr w:type="gramEnd"/>
    </w:p>
    <w:p w14:paraId="5B39D90A" w14:textId="77777777" w:rsidR="004628BB" w:rsidRDefault="002C5754">
      <w:pPr>
        <w:pStyle w:val="ListParagraph"/>
        <w:numPr>
          <w:ilvl w:val="0"/>
          <w:numId w:val="2"/>
        </w:numPr>
        <w:autoSpaceDE w:val="0"/>
        <w:autoSpaceDN w:val="0"/>
        <w:adjustRightInd w:val="0"/>
        <w:rPr>
          <w:rFonts w:asciiTheme="minorHAnsi" w:hAnsiTheme="minorHAnsi" w:cstheme="minorHAnsi"/>
        </w:rPr>
      </w:pPr>
      <w:r>
        <w:rPr>
          <w:rFonts w:asciiTheme="minorHAnsi" w:hAnsiTheme="minorHAnsi" w:cstheme="minorHAnsi"/>
        </w:rPr>
        <w:t>Used in ways that are unacceptable to or unexpected by the person it is about; or</w:t>
      </w:r>
    </w:p>
    <w:p w14:paraId="5B39D90B" w14:textId="77777777" w:rsidR="004628BB" w:rsidRDefault="002C5754">
      <w:pPr>
        <w:pStyle w:val="ListParagraph"/>
        <w:numPr>
          <w:ilvl w:val="0"/>
          <w:numId w:val="2"/>
        </w:numPr>
        <w:autoSpaceDE w:val="0"/>
        <w:autoSpaceDN w:val="0"/>
        <w:adjustRightInd w:val="0"/>
        <w:rPr>
          <w:rFonts w:asciiTheme="minorHAnsi" w:hAnsiTheme="minorHAnsi" w:cstheme="minorHAnsi"/>
        </w:rPr>
      </w:pPr>
      <w:r>
        <w:rPr>
          <w:rFonts w:asciiTheme="minorHAnsi" w:hAnsiTheme="minorHAnsi" w:cstheme="minorHAnsi"/>
        </w:rPr>
        <w:t>Not kept securely.</w:t>
      </w:r>
    </w:p>
    <w:p w14:paraId="5B39D90C" w14:textId="77777777" w:rsidR="004628BB" w:rsidRDefault="004628BB">
      <w:pPr>
        <w:autoSpaceDE w:val="0"/>
        <w:autoSpaceDN w:val="0"/>
        <w:adjustRightInd w:val="0"/>
        <w:rPr>
          <w:rFonts w:asciiTheme="minorHAnsi" w:hAnsiTheme="minorHAnsi" w:cstheme="minorHAnsi"/>
          <w:b/>
          <w:bCs/>
          <w:color w:val="000000" w:themeColor="text1"/>
        </w:rPr>
      </w:pPr>
    </w:p>
    <w:p w14:paraId="5B39D90D" w14:textId="77777777" w:rsidR="004628BB" w:rsidRDefault="004628BB">
      <w:pPr>
        <w:autoSpaceDE w:val="0"/>
        <w:autoSpaceDN w:val="0"/>
        <w:adjustRightInd w:val="0"/>
        <w:rPr>
          <w:rFonts w:asciiTheme="minorHAnsi" w:hAnsiTheme="minorHAnsi" w:cstheme="minorHAnsi"/>
          <w:b/>
          <w:bCs/>
          <w:color w:val="000000" w:themeColor="text1"/>
        </w:rPr>
      </w:pPr>
    </w:p>
    <w:p w14:paraId="5B39D90E" w14:textId="77777777" w:rsidR="004628BB" w:rsidRDefault="002C5754">
      <w:pPr>
        <w:autoSpaceDE w:val="0"/>
        <w:autoSpaceDN w:val="0"/>
        <w:adjustRightInd w:val="0"/>
        <w:rPr>
          <w:rFonts w:asciiTheme="minorHAnsi" w:hAnsiTheme="minorHAnsi" w:cstheme="minorHAnsi"/>
        </w:rPr>
      </w:pPr>
      <w:r>
        <w:rPr>
          <w:rFonts w:asciiTheme="minorHAnsi" w:hAnsiTheme="minorHAnsi" w:cstheme="minorHAnsi"/>
          <w:b/>
          <w:bCs/>
          <w:color w:val="000000" w:themeColor="text1"/>
        </w:rPr>
        <w:t>Legislative requirements:</w:t>
      </w:r>
      <w:r>
        <w:rPr>
          <w:rFonts w:asciiTheme="minorHAnsi" w:hAnsiTheme="minorHAnsi" w:cstheme="minorHAnsi"/>
          <w:b/>
          <w:bCs/>
          <w:color w:val="000000" w:themeColor="text1"/>
        </w:rPr>
        <w:br/>
      </w:r>
      <w:r>
        <w:rPr>
          <w:rFonts w:asciiTheme="minorHAnsi" w:hAnsiTheme="minorHAnsi" w:cstheme="minorHAnsi"/>
          <w:color w:val="000000" w:themeColor="text1"/>
        </w:rPr>
        <w:br/>
        <w:t xml:space="preserve">Organisations are required to provide employees, job applicants, customers, clients, </w:t>
      </w:r>
      <w:proofErr w:type="gramStart"/>
      <w:r>
        <w:rPr>
          <w:rFonts w:asciiTheme="minorHAnsi" w:hAnsiTheme="minorHAnsi" w:cstheme="minorHAnsi"/>
          <w:color w:val="000000" w:themeColor="text1"/>
        </w:rPr>
        <w:t>suppliers</w:t>
      </w:r>
      <w:proofErr w:type="gramEnd"/>
      <w:r>
        <w:rPr>
          <w:rFonts w:asciiTheme="minorHAnsi" w:hAnsiTheme="minorHAnsi" w:cstheme="minorHAnsi"/>
          <w:color w:val="000000" w:themeColor="text1"/>
        </w:rPr>
        <w:t xml:space="preserve"> and business partners with a privacy notice setting out certain information. Under the GDPR law, individuals whose data is held will need to be provided with more detailed information, such as:</w:t>
      </w:r>
    </w:p>
    <w:p w14:paraId="5B39D90F" w14:textId="77777777" w:rsidR="004628BB" w:rsidRDefault="002C5754">
      <w:pPr>
        <w:pStyle w:val="ListParagraph"/>
        <w:numPr>
          <w:ilvl w:val="0"/>
          <w:numId w:val="3"/>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How long data will be stored </w:t>
      </w:r>
      <w:proofErr w:type="gramStart"/>
      <w:r>
        <w:rPr>
          <w:rFonts w:asciiTheme="minorHAnsi" w:hAnsiTheme="minorHAnsi" w:cstheme="minorHAnsi"/>
          <w:color w:val="000000" w:themeColor="text1"/>
        </w:rPr>
        <w:t>for;</w:t>
      </w:r>
      <w:proofErr w:type="gramEnd"/>
    </w:p>
    <w:p w14:paraId="5B39D910" w14:textId="77777777" w:rsidR="004628BB" w:rsidRDefault="002C5754">
      <w:pPr>
        <w:pStyle w:val="ListParagraph"/>
        <w:numPr>
          <w:ilvl w:val="0"/>
          <w:numId w:val="3"/>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If data will be transferred to other </w:t>
      </w:r>
      <w:proofErr w:type="gramStart"/>
      <w:r>
        <w:rPr>
          <w:rFonts w:asciiTheme="minorHAnsi" w:hAnsiTheme="minorHAnsi" w:cstheme="minorHAnsi"/>
          <w:color w:val="000000" w:themeColor="text1"/>
        </w:rPr>
        <w:t>countries;</w:t>
      </w:r>
      <w:proofErr w:type="gramEnd"/>
    </w:p>
    <w:p w14:paraId="5B39D911" w14:textId="77777777" w:rsidR="004628BB" w:rsidRDefault="002C5754">
      <w:pPr>
        <w:pStyle w:val="ListParagraph"/>
        <w:numPr>
          <w:ilvl w:val="0"/>
          <w:numId w:val="3"/>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Information on the right to make a subject access request; and</w:t>
      </w:r>
    </w:p>
    <w:p w14:paraId="5B39D912" w14:textId="77777777" w:rsidR="004628BB" w:rsidRDefault="002C5754">
      <w:pPr>
        <w:pStyle w:val="ListParagraph"/>
        <w:numPr>
          <w:ilvl w:val="0"/>
          <w:numId w:val="3"/>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Information on the right to have personal data deleted or rectified in certain instances.</w:t>
      </w:r>
    </w:p>
    <w:p w14:paraId="5B39D913" w14:textId="77777777" w:rsidR="004628BB" w:rsidRDefault="002C5754">
      <w:pPr>
        <w:spacing w:after="120"/>
        <w:outlineLvl w:val="2"/>
        <w:rPr>
          <w:rFonts w:asciiTheme="minorHAnsi" w:hAnsiTheme="minorHAnsi" w:cstheme="minorHAnsi"/>
          <w:b/>
          <w:bCs/>
          <w:color w:val="000000" w:themeColor="text1"/>
        </w:rPr>
      </w:pPr>
      <w:r>
        <w:rPr>
          <w:rFonts w:asciiTheme="minorHAnsi" w:hAnsiTheme="minorHAnsi" w:cstheme="minorHAnsi"/>
          <w:b/>
          <w:bCs/>
          <w:color w:val="000000" w:themeColor="text1"/>
        </w:rPr>
        <w:t>Restrictions to consent</w:t>
      </w:r>
    </w:p>
    <w:p w14:paraId="5B39D914" w14:textId="77777777" w:rsidR="004628BB" w:rsidRDefault="002C5754">
      <w:pPr>
        <w:spacing w:after="288"/>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Data can only be stored by consent and individuals such as employees, job applicants, customers, students, freelancers, volunteers, clients, </w:t>
      </w:r>
      <w:proofErr w:type="gramStart"/>
      <w:r>
        <w:rPr>
          <w:rFonts w:asciiTheme="minorHAnsi" w:hAnsiTheme="minorHAnsi" w:cstheme="minorHAnsi"/>
          <w:color w:val="000000" w:themeColor="text1"/>
        </w:rPr>
        <w:t>suppliers</w:t>
      </w:r>
      <w:proofErr w:type="gramEnd"/>
      <w:r>
        <w:rPr>
          <w:rFonts w:asciiTheme="minorHAnsi" w:hAnsiTheme="minorHAnsi" w:cstheme="minorHAnsi"/>
          <w:color w:val="000000" w:themeColor="text1"/>
        </w:rPr>
        <w:t xml:space="preserve"> and business partners must be able to withdraw their consent at any time.</w:t>
      </w:r>
    </w:p>
    <w:p w14:paraId="5B39D915" w14:textId="77777777" w:rsidR="004628BB" w:rsidRDefault="002C5754">
      <w:pPr>
        <w:spacing w:after="120"/>
        <w:outlineLvl w:val="2"/>
        <w:rPr>
          <w:rFonts w:asciiTheme="minorHAnsi" w:hAnsiTheme="minorHAnsi" w:cstheme="minorHAnsi"/>
          <w:color w:val="000000" w:themeColor="text1"/>
        </w:rPr>
      </w:pPr>
      <w:r>
        <w:rPr>
          <w:rFonts w:asciiTheme="minorHAnsi" w:hAnsiTheme="minorHAnsi" w:cstheme="minorHAnsi"/>
          <w:b/>
          <w:bCs/>
          <w:color w:val="000000" w:themeColor="text1"/>
        </w:rPr>
        <w:t>New breach notification requirement</w:t>
      </w:r>
      <w:r>
        <w:rPr>
          <w:rFonts w:asciiTheme="minorHAnsi" w:hAnsiTheme="minorHAnsi" w:cstheme="minorHAnsi"/>
          <w:b/>
          <w:bCs/>
          <w:color w:val="000000" w:themeColor="text1"/>
        </w:rPr>
        <w:br/>
      </w:r>
      <w:r>
        <w:rPr>
          <w:rFonts w:asciiTheme="minorHAnsi" w:hAnsiTheme="minorHAnsi" w:cstheme="minorHAnsi"/>
          <w:color w:val="000000" w:themeColor="text1"/>
        </w:rPr>
        <w:t>GDPR law imposes a new mandatory breach reporting requirement. Where there has been a data breach (such as an accidental or unlawful loss, or disclosure of data), the company suffering the breach will have to notify and provide certain information to the data protection authority within 72 hours. Where the breach poses a high risk to the rights and freedoms of individuals, those individuals will also have to be notified.</w:t>
      </w:r>
    </w:p>
    <w:p w14:paraId="5B39D916" w14:textId="77777777" w:rsidR="004628BB" w:rsidRDefault="004628BB">
      <w:pPr>
        <w:spacing w:after="120"/>
        <w:outlineLvl w:val="2"/>
        <w:rPr>
          <w:rFonts w:asciiTheme="minorHAnsi" w:hAnsiTheme="minorHAnsi" w:cstheme="minorHAnsi"/>
          <w:color w:val="000000" w:themeColor="text1"/>
        </w:rPr>
      </w:pPr>
    </w:p>
    <w:p w14:paraId="5B39D917" w14:textId="77777777" w:rsidR="004628BB" w:rsidRDefault="004628BB">
      <w:pPr>
        <w:spacing w:after="120"/>
        <w:outlineLvl w:val="2"/>
        <w:rPr>
          <w:rFonts w:asciiTheme="minorHAnsi" w:hAnsiTheme="minorHAnsi" w:cstheme="minorHAnsi"/>
          <w:color w:val="000000" w:themeColor="text1"/>
        </w:rPr>
      </w:pPr>
    </w:p>
    <w:p w14:paraId="5B39D918" w14:textId="77777777" w:rsidR="004628BB" w:rsidRDefault="004628BB">
      <w:pPr>
        <w:spacing w:after="120"/>
        <w:outlineLvl w:val="2"/>
        <w:rPr>
          <w:rFonts w:asciiTheme="minorHAnsi" w:hAnsiTheme="minorHAnsi" w:cstheme="minorHAnsi"/>
          <w:color w:val="000000" w:themeColor="text1"/>
        </w:rPr>
      </w:pPr>
    </w:p>
    <w:p w14:paraId="5B39D919" w14:textId="77777777" w:rsidR="004628BB" w:rsidRDefault="004628BB">
      <w:pPr>
        <w:spacing w:after="120"/>
        <w:outlineLvl w:val="2"/>
        <w:rPr>
          <w:rFonts w:asciiTheme="minorHAnsi" w:hAnsiTheme="minorHAnsi" w:cstheme="minorHAnsi"/>
          <w:color w:val="000000" w:themeColor="text1"/>
        </w:rPr>
      </w:pPr>
    </w:p>
    <w:p w14:paraId="5B39D91A" w14:textId="77777777" w:rsidR="004628BB" w:rsidRDefault="004628BB">
      <w:pPr>
        <w:spacing w:after="120"/>
        <w:outlineLvl w:val="2"/>
        <w:rPr>
          <w:rFonts w:asciiTheme="minorHAnsi" w:hAnsiTheme="minorHAnsi" w:cstheme="minorHAnsi"/>
          <w:color w:val="000000" w:themeColor="text1"/>
        </w:rPr>
      </w:pPr>
    </w:p>
    <w:p w14:paraId="5B39D91B" w14:textId="77777777" w:rsidR="004628BB" w:rsidRDefault="004628BB">
      <w:pPr>
        <w:spacing w:after="120"/>
        <w:outlineLvl w:val="2"/>
        <w:rPr>
          <w:rFonts w:asciiTheme="minorHAnsi" w:hAnsiTheme="minorHAnsi" w:cstheme="minorHAnsi"/>
          <w:color w:val="000000" w:themeColor="text1"/>
        </w:rPr>
      </w:pPr>
    </w:p>
    <w:p w14:paraId="5B39D91C" w14:textId="77777777" w:rsidR="004628BB" w:rsidRDefault="004628BB">
      <w:pPr>
        <w:spacing w:after="120"/>
        <w:outlineLvl w:val="2"/>
        <w:rPr>
          <w:rFonts w:asciiTheme="minorHAnsi" w:hAnsiTheme="minorHAnsi" w:cstheme="minorHAnsi"/>
          <w:color w:val="000000" w:themeColor="text1"/>
        </w:rPr>
      </w:pPr>
    </w:p>
    <w:p w14:paraId="5B39D91D" w14:textId="77777777" w:rsidR="004628BB" w:rsidRDefault="004628BB">
      <w:pPr>
        <w:spacing w:after="120"/>
        <w:outlineLvl w:val="2"/>
        <w:rPr>
          <w:rFonts w:asciiTheme="minorHAnsi" w:hAnsiTheme="minorHAnsi" w:cstheme="minorHAnsi"/>
          <w:b/>
          <w:bCs/>
          <w:sz w:val="28"/>
          <w:szCs w:val="28"/>
        </w:rPr>
      </w:pPr>
    </w:p>
    <w:p w14:paraId="5B39D91E" w14:textId="77777777" w:rsidR="004628BB" w:rsidRDefault="004628BB">
      <w:pPr>
        <w:spacing w:after="120"/>
        <w:outlineLvl w:val="2"/>
        <w:rPr>
          <w:rFonts w:asciiTheme="minorHAnsi" w:hAnsiTheme="minorHAnsi" w:cstheme="minorHAnsi"/>
          <w:b/>
          <w:bCs/>
          <w:sz w:val="28"/>
          <w:szCs w:val="28"/>
        </w:rPr>
      </w:pPr>
    </w:p>
    <w:p w14:paraId="5B39D91F" w14:textId="77777777" w:rsidR="004628BB" w:rsidRDefault="004628BB">
      <w:pPr>
        <w:spacing w:after="120"/>
        <w:outlineLvl w:val="2"/>
        <w:rPr>
          <w:rFonts w:asciiTheme="minorHAnsi" w:hAnsiTheme="minorHAnsi" w:cstheme="minorHAnsi"/>
          <w:b/>
          <w:bCs/>
          <w:sz w:val="28"/>
          <w:szCs w:val="28"/>
        </w:rPr>
      </w:pPr>
    </w:p>
    <w:p w14:paraId="5B39D920" w14:textId="77777777" w:rsidR="004628BB" w:rsidRDefault="004628BB">
      <w:pPr>
        <w:spacing w:after="120"/>
        <w:outlineLvl w:val="2"/>
        <w:rPr>
          <w:rFonts w:asciiTheme="minorHAnsi" w:hAnsiTheme="minorHAnsi" w:cstheme="minorHAnsi"/>
          <w:b/>
          <w:bCs/>
          <w:sz w:val="28"/>
          <w:szCs w:val="28"/>
        </w:rPr>
      </w:pPr>
    </w:p>
    <w:p w14:paraId="5B39D921" w14:textId="77777777" w:rsidR="004628BB" w:rsidRDefault="004628BB">
      <w:pPr>
        <w:spacing w:after="120"/>
        <w:outlineLvl w:val="2"/>
        <w:rPr>
          <w:rFonts w:asciiTheme="minorHAnsi" w:hAnsiTheme="minorHAnsi" w:cstheme="minorHAnsi"/>
          <w:b/>
          <w:bCs/>
          <w:sz w:val="28"/>
          <w:szCs w:val="28"/>
        </w:rPr>
      </w:pPr>
    </w:p>
    <w:p w14:paraId="5B39D922" w14:textId="77777777" w:rsidR="004628BB" w:rsidRDefault="004628BB">
      <w:pPr>
        <w:spacing w:after="120"/>
        <w:outlineLvl w:val="2"/>
        <w:rPr>
          <w:rFonts w:asciiTheme="minorHAnsi" w:hAnsiTheme="minorHAnsi" w:cstheme="minorHAnsi"/>
          <w:b/>
          <w:bCs/>
          <w:sz w:val="28"/>
          <w:szCs w:val="28"/>
        </w:rPr>
      </w:pPr>
    </w:p>
    <w:p w14:paraId="5B39D923" w14:textId="77777777" w:rsidR="004628BB" w:rsidRDefault="002C5754">
      <w:pPr>
        <w:spacing w:after="120"/>
        <w:outlineLvl w:val="2"/>
        <w:rPr>
          <w:rFonts w:asciiTheme="minorHAnsi" w:hAnsiTheme="minorHAnsi" w:cstheme="minorHAnsi"/>
          <w:b/>
          <w:bCs/>
          <w:sz w:val="28"/>
          <w:szCs w:val="28"/>
        </w:rPr>
      </w:pPr>
      <w:r>
        <w:rPr>
          <w:rFonts w:asciiTheme="minorHAnsi" w:hAnsiTheme="minorHAnsi" w:cstheme="minorHAnsi"/>
          <w:b/>
          <w:bCs/>
          <w:sz w:val="28"/>
          <w:szCs w:val="28"/>
        </w:rPr>
        <w:t xml:space="preserve">2) Data Management </w:t>
      </w:r>
      <w:r>
        <w:rPr>
          <w:rFonts w:asciiTheme="minorHAnsi" w:hAnsiTheme="minorHAnsi" w:cstheme="minorHAnsi"/>
          <w:b/>
          <w:bCs/>
          <w:sz w:val="28"/>
          <w:szCs w:val="28"/>
        </w:rPr>
        <w:t>Responsibility</w:t>
      </w:r>
    </w:p>
    <w:p w14:paraId="5B39D924" w14:textId="77777777" w:rsidR="004628BB" w:rsidRDefault="002C5754">
      <w:pPr>
        <w:spacing w:after="120"/>
        <w:outlineLvl w:val="2"/>
        <w:rPr>
          <w:rFonts w:asciiTheme="minorHAnsi" w:hAnsiTheme="minorHAnsi" w:cstheme="minorHAnsi"/>
          <w:color w:val="000000" w:themeColor="text1"/>
        </w:rPr>
      </w:pPr>
      <w:r>
        <w:rPr>
          <w:rFonts w:asciiTheme="minorHAnsi" w:hAnsiTheme="minorHAnsi" w:cstheme="minorHAnsi"/>
          <w:b/>
          <w:bCs/>
          <w:color w:val="222222"/>
        </w:rPr>
        <w:br/>
      </w:r>
      <w:r>
        <w:rPr>
          <w:rFonts w:asciiTheme="minorHAnsi" w:hAnsiTheme="minorHAnsi" w:cstheme="minorHAnsi"/>
          <w:color w:val="000000" w:themeColor="text1"/>
        </w:rPr>
        <w:t>An organisation holding and determining whether personal data will be held is known as the Data Controller. The Data Controller can be an individual. The Data Controller at Strive Training is Johnny Phillips.</w:t>
      </w:r>
    </w:p>
    <w:p w14:paraId="5B39D925" w14:textId="77777777" w:rsidR="004628BB" w:rsidRDefault="004628BB">
      <w:pPr>
        <w:rPr>
          <w:rFonts w:asciiTheme="minorHAnsi" w:hAnsiTheme="minorHAnsi" w:cstheme="minorHAnsi"/>
          <w:b/>
          <w:color w:val="000000" w:themeColor="text1"/>
        </w:rPr>
      </w:pPr>
    </w:p>
    <w:p w14:paraId="5B39D926" w14:textId="77777777" w:rsidR="004628BB" w:rsidRDefault="002C5754">
      <w:pPr>
        <w:rPr>
          <w:rFonts w:asciiTheme="minorHAnsi" w:hAnsiTheme="minorHAnsi" w:cstheme="minorHAnsi"/>
        </w:rPr>
      </w:pPr>
      <w:r>
        <w:rPr>
          <w:rFonts w:asciiTheme="minorHAnsi" w:hAnsiTheme="minorHAnsi" w:cstheme="minorHAnsi"/>
          <w:b/>
          <w:color w:val="000000" w:themeColor="text1"/>
        </w:rPr>
        <w:t>The Data Controller</w:t>
      </w:r>
      <w:r>
        <w:rPr>
          <w:rFonts w:asciiTheme="minorHAnsi" w:hAnsiTheme="minorHAnsi" w:cstheme="minorHAnsi"/>
          <w:b/>
          <w:color w:val="000000" w:themeColor="text1"/>
        </w:rPr>
        <w:br/>
      </w:r>
      <w:r>
        <w:rPr>
          <w:rFonts w:asciiTheme="minorHAnsi" w:hAnsiTheme="minorHAnsi" w:cstheme="minorHAnsi"/>
          <w:color w:val="000000" w:themeColor="text1"/>
        </w:rPr>
        <w:t xml:space="preserve">The Data Controller is responsible for developing a data breach response programme to ensure prompt notification. </w:t>
      </w:r>
      <w:r>
        <w:rPr>
          <w:rFonts w:asciiTheme="minorHAnsi" w:hAnsiTheme="minorHAnsi" w:cstheme="minorHAnsi"/>
        </w:rPr>
        <w:t>The Data Controller is the person instructing data to be held. The Data Controller is legally responsible.</w:t>
      </w:r>
    </w:p>
    <w:p w14:paraId="5B39D927" w14:textId="77777777" w:rsidR="004628BB" w:rsidRDefault="002C5754">
      <w:pPr>
        <w:spacing w:before="100" w:beforeAutospacing="1" w:after="100" w:afterAutospacing="1"/>
        <w:rPr>
          <w:rFonts w:asciiTheme="minorHAnsi" w:hAnsiTheme="minorHAnsi" w:cstheme="minorHAnsi"/>
          <w:bCs/>
          <w:color w:val="000000" w:themeColor="text1"/>
        </w:rPr>
      </w:pPr>
      <w:r>
        <w:rPr>
          <w:rFonts w:asciiTheme="minorHAnsi" w:hAnsiTheme="minorHAnsi" w:cstheme="minorHAnsi"/>
          <w:color w:val="000000" w:themeColor="text1"/>
        </w:rPr>
        <w:t>The Data Controller will allocate responsibility to certain people to manage data protection.</w:t>
      </w:r>
    </w:p>
    <w:p w14:paraId="5B39D928" w14:textId="77777777" w:rsidR="004628BB" w:rsidRDefault="002C5754">
      <w:pPr>
        <w:spacing w:before="100" w:beforeAutospacing="1" w:after="100" w:afterAutospacing="1"/>
        <w:rPr>
          <w:rFonts w:asciiTheme="minorHAnsi" w:hAnsiTheme="minorHAnsi" w:cstheme="minorHAnsi"/>
          <w:color w:val="000000" w:themeColor="text1"/>
        </w:rPr>
      </w:pPr>
      <w:r>
        <w:rPr>
          <w:rFonts w:asciiTheme="minorHAnsi" w:hAnsiTheme="minorHAnsi" w:cstheme="minorHAnsi"/>
          <w:b/>
          <w:color w:val="000000" w:themeColor="text1"/>
        </w:rPr>
        <w:lastRenderedPageBreak/>
        <w:t>Data Protection Officers</w:t>
      </w:r>
      <w:r>
        <w:rPr>
          <w:rFonts w:asciiTheme="minorHAnsi" w:hAnsiTheme="minorHAnsi" w:cstheme="minorHAnsi"/>
          <w:b/>
          <w:color w:val="000000" w:themeColor="text1"/>
        </w:rPr>
        <w:br/>
      </w:r>
      <w:r>
        <w:rPr>
          <w:rFonts w:asciiTheme="minorHAnsi" w:hAnsiTheme="minorHAnsi" w:cstheme="minorHAnsi"/>
          <w:color w:val="000000" w:themeColor="text1"/>
        </w:rPr>
        <w:t>Companies involved in regular monitoring or large-scale processing of sensitive data will need to appoint a Data Protection Officer to:</w:t>
      </w:r>
    </w:p>
    <w:p w14:paraId="5B39D929" w14:textId="77777777" w:rsidR="004628BB" w:rsidRDefault="002C5754">
      <w:pPr>
        <w:pStyle w:val="ListParagraph"/>
        <w:numPr>
          <w:ilvl w:val="0"/>
          <w:numId w:val="4"/>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Advise on GDPR </w:t>
      </w:r>
      <w:proofErr w:type="gramStart"/>
      <w:r>
        <w:rPr>
          <w:rFonts w:asciiTheme="minorHAnsi" w:hAnsiTheme="minorHAnsi" w:cstheme="minorHAnsi"/>
          <w:color w:val="000000" w:themeColor="text1"/>
        </w:rPr>
        <w:t>obligations;</w:t>
      </w:r>
      <w:proofErr w:type="gramEnd"/>
    </w:p>
    <w:p w14:paraId="5B39D92A" w14:textId="77777777" w:rsidR="004628BB" w:rsidRDefault="002C5754">
      <w:pPr>
        <w:pStyle w:val="ListParagraph"/>
        <w:numPr>
          <w:ilvl w:val="0"/>
          <w:numId w:val="4"/>
        </w:numPr>
        <w:spacing w:before="100" w:beforeAutospacing="1" w:after="100" w:afterAutospacing="1"/>
        <w:rPr>
          <w:rFonts w:asciiTheme="minorHAnsi" w:hAnsiTheme="minorHAnsi" w:cstheme="minorHAnsi"/>
          <w:color w:val="555555"/>
        </w:rPr>
      </w:pPr>
      <w:r>
        <w:rPr>
          <w:rFonts w:asciiTheme="minorHAnsi" w:hAnsiTheme="minorHAnsi" w:cstheme="minorHAnsi"/>
          <w:color w:val="000000" w:themeColor="text1"/>
        </w:rPr>
        <w:t xml:space="preserve">Monitor </w:t>
      </w:r>
      <w:proofErr w:type="gramStart"/>
      <w:r>
        <w:rPr>
          <w:rFonts w:asciiTheme="minorHAnsi" w:hAnsiTheme="minorHAnsi" w:cstheme="minorHAnsi"/>
          <w:color w:val="000000" w:themeColor="text1"/>
        </w:rPr>
        <w:t>compliance</w:t>
      </w:r>
      <w:r>
        <w:rPr>
          <w:rFonts w:asciiTheme="minorHAnsi" w:hAnsiTheme="minorHAnsi" w:cstheme="minorHAnsi"/>
          <w:color w:val="555555"/>
        </w:rPr>
        <w:t>;</w:t>
      </w:r>
      <w:proofErr w:type="gramEnd"/>
    </w:p>
    <w:p w14:paraId="5B39D92B" w14:textId="77777777" w:rsidR="004628BB" w:rsidRDefault="002C5754">
      <w:pPr>
        <w:pStyle w:val="ListParagraph"/>
        <w:numPr>
          <w:ilvl w:val="0"/>
          <w:numId w:val="4"/>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Liaise with the data protection authority (ICO).</w:t>
      </w:r>
    </w:p>
    <w:p w14:paraId="5B39D92C" w14:textId="77777777" w:rsidR="004628BB" w:rsidRDefault="002C5754">
      <w:pPr>
        <w:pStyle w:val="ListParagraph"/>
        <w:numPr>
          <w:ilvl w:val="0"/>
          <w:numId w:val="4"/>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Investigate and contain any data breaches, log a data breach </w:t>
      </w:r>
      <w:proofErr w:type="gramStart"/>
      <w:r>
        <w:rPr>
          <w:rFonts w:asciiTheme="minorHAnsi" w:hAnsiTheme="minorHAnsi" w:cstheme="minorHAnsi"/>
          <w:color w:val="000000" w:themeColor="text1"/>
        </w:rPr>
        <w:t>report</w:t>
      </w:r>
      <w:proofErr w:type="gramEnd"/>
      <w:r>
        <w:rPr>
          <w:rFonts w:asciiTheme="minorHAnsi" w:hAnsiTheme="minorHAnsi" w:cstheme="minorHAnsi"/>
          <w:color w:val="000000" w:themeColor="text1"/>
        </w:rPr>
        <w:t xml:space="preserve"> </w:t>
      </w:r>
    </w:p>
    <w:p w14:paraId="5B39D92D" w14:textId="77777777" w:rsidR="004628BB" w:rsidRDefault="002C5754">
      <w:pPr>
        <w:pStyle w:val="ListParagraph"/>
        <w:numPr>
          <w:ilvl w:val="0"/>
          <w:numId w:val="4"/>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Train employees to recognise and address data breaches, and</w:t>
      </w:r>
    </w:p>
    <w:p w14:paraId="5B39D92E" w14:textId="77777777" w:rsidR="004628BB" w:rsidRDefault="002C5754">
      <w:pPr>
        <w:pStyle w:val="ListParagraph"/>
        <w:numPr>
          <w:ilvl w:val="0"/>
          <w:numId w:val="4"/>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Put appropriate policies and procedures in place.</w:t>
      </w:r>
    </w:p>
    <w:p w14:paraId="5B39D92F" w14:textId="77777777" w:rsidR="004628BB" w:rsidRDefault="002C5754">
      <w:p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Data Protection Officers manage data protection procedures but are not legally responsible.</w:t>
      </w:r>
    </w:p>
    <w:p w14:paraId="5B39D930" w14:textId="77777777" w:rsidR="004628BB" w:rsidRDefault="002C5754">
      <w:p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The Data Protection Officers for Strive Training (London) Limited are:</w:t>
      </w:r>
    </w:p>
    <w:p w14:paraId="5B39D931" w14:textId="77777777" w:rsidR="004628BB" w:rsidRDefault="002C5754">
      <w:pPr>
        <w:numPr>
          <w:ilvl w:val="0"/>
          <w:numId w:val="5"/>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John Stapleton (policies, data requests, data breaches &amp; student data) - main contact</w:t>
      </w:r>
    </w:p>
    <w:p w14:paraId="5B39D932" w14:textId="77777777" w:rsidR="004628BB" w:rsidRDefault="002C5754">
      <w:pPr>
        <w:numPr>
          <w:ilvl w:val="0"/>
          <w:numId w:val="5"/>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Florina Todiras </w:t>
      </w:r>
      <w:r>
        <w:rPr>
          <w:rFonts w:asciiTheme="minorHAnsi" w:hAnsiTheme="minorHAnsi" w:cstheme="minorHAnsi"/>
          <w:color w:val="000000" w:themeColor="text1"/>
        </w:rPr>
        <w:t>(Student data)</w:t>
      </w:r>
    </w:p>
    <w:p w14:paraId="5B39D933" w14:textId="77777777" w:rsidR="004628BB" w:rsidRDefault="002C5754">
      <w:pPr>
        <w:numPr>
          <w:ilvl w:val="0"/>
          <w:numId w:val="5"/>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Kim Franks (HR &amp; Health &amp; Safety)</w:t>
      </w:r>
    </w:p>
    <w:p w14:paraId="5B39D934" w14:textId="77777777" w:rsidR="004628BB" w:rsidRDefault="002C5754">
      <w:pPr>
        <w:numPr>
          <w:ilvl w:val="0"/>
          <w:numId w:val="5"/>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Jana Kucera (Financial, pensions and salary)</w:t>
      </w:r>
    </w:p>
    <w:p w14:paraId="5B39D935" w14:textId="77777777" w:rsidR="004628BB" w:rsidRDefault="002C5754">
      <w:pPr>
        <w:numPr>
          <w:ilvl w:val="0"/>
          <w:numId w:val="5"/>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Gersh Grosberg (IT systems and customer database)</w:t>
      </w:r>
    </w:p>
    <w:p w14:paraId="5B39D936" w14:textId="77777777" w:rsidR="004628BB" w:rsidRDefault="002C5754">
      <w:p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Some personal data is processed on behalf of Strive Training, by our associated company Lyons Presentations Limited. The Data Protection Officers for Lyons Presentations Limited are Matt Bernstein (GDPR policy, data requests), Jana Kucera (salary and accounts) and Gersh Grosberg (IT and marketing). </w:t>
      </w:r>
    </w:p>
    <w:p w14:paraId="5B39D937" w14:textId="77777777" w:rsidR="004628BB" w:rsidRDefault="002C5754">
      <w:pPr>
        <w:spacing w:before="100" w:beforeAutospacing="1" w:after="100" w:afterAutospacing="1"/>
        <w:rPr>
          <w:rFonts w:asciiTheme="minorHAnsi" w:hAnsiTheme="minorHAnsi" w:cstheme="minorHAnsi"/>
          <w:color w:val="000000" w:themeColor="text1"/>
        </w:rPr>
      </w:pPr>
      <w:r>
        <w:rPr>
          <w:rFonts w:asciiTheme="minorHAnsi" w:hAnsiTheme="minorHAnsi" w:cstheme="minorHAnsi"/>
          <w:b/>
          <w:color w:val="000000" w:themeColor="text1"/>
        </w:rPr>
        <w:t>Data Administrators</w:t>
      </w:r>
      <w:r>
        <w:rPr>
          <w:rFonts w:asciiTheme="minorHAnsi" w:hAnsiTheme="minorHAnsi" w:cstheme="minorHAnsi"/>
          <w:b/>
          <w:color w:val="000000" w:themeColor="text1"/>
        </w:rPr>
        <w:br/>
      </w:r>
      <w:r>
        <w:rPr>
          <w:rFonts w:asciiTheme="minorHAnsi" w:hAnsiTheme="minorHAnsi" w:cstheme="minorHAnsi"/>
          <w:color w:val="000000" w:themeColor="text1"/>
        </w:rPr>
        <w:t>At department level, various individuals will be required to hold and process personal data in accordance with company policy and procedures. These people are known as Data Administrators. Data Administrators report to the Data Protection Officer.</w:t>
      </w:r>
    </w:p>
    <w:p w14:paraId="5B39D938" w14:textId="77777777" w:rsidR="004628BB" w:rsidRDefault="002C5754">
      <w:p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Data Administrators should ensure that everyone in their workplace works in accordance with company GDPR procedures and ensure that risks of breaches are at a minimum.</w:t>
      </w:r>
    </w:p>
    <w:p w14:paraId="5B39D939" w14:textId="77777777" w:rsidR="004628BB" w:rsidRDefault="002C5754">
      <w:p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Data Administrators should have:</w:t>
      </w:r>
    </w:p>
    <w:p w14:paraId="5B39D93A" w14:textId="77777777" w:rsidR="004628BB" w:rsidRDefault="002C5754">
      <w:pPr>
        <w:pStyle w:val="ListParagraph"/>
        <w:numPr>
          <w:ilvl w:val="0"/>
          <w:numId w:val="6"/>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Copy of this GDPR Policy and Procedure document</w:t>
      </w:r>
    </w:p>
    <w:p w14:paraId="5B39D93B" w14:textId="77777777" w:rsidR="004628BB" w:rsidRDefault="002C5754">
      <w:pPr>
        <w:pStyle w:val="ListParagraph"/>
        <w:numPr>
          <w:ilvl w:val="0"/>
          <w:numId w:val="6"/>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Record of retention period schedule for all data held in their </w:t>
      </w:r>
      <w:proofErr w:type="gramStart"/>
      <w:r>
        <w:rPr>
          <w:rFonts w:asciiTheme="minorHAnsi" w:hAnsiTheme="minorHAnsi" w:cstheme="minorHAnsi"/>
          <w:color w:val="000000" w:themeColor="text1"/>
        </w:rPr>
        <w:t>department</w:t>
      </w:r>
      <w:proofErr w:type="gramEnd"/>
    </w:p>
    <w:p w14:paraId="5B39D93C" w14:textId="77777777" w:rsidR="004628BB" w:rsidRDefault="002C5754">
      <w:pPr>
        <w:pStyle w:val="ListParagraph"/>
        <w:numPr>
          <w:ilvl w:val="0"/>
          <w:numId w:val="6"/>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Schedule for sending Privacy Notices</w:t>
      </w:r>
    </w:p>
    <w:p w14:paraId="5B39D93D" w14:textId="77777777" w:rsidR="004628BB" w:rsidRDefault="002C5754">
      <w:pPr>
        <w:pStyle w:val="ListParagraph"/>
        <w:numPr>
          <w:ilvl w:val="0"/>
          <w:numId w:val="6"/>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Privacy Notice Form</w:t>
      </w:r>
    </w:p>
    <w:p w14:paraId="5B39D93E" w14:textId="77777777" w:rsidR="004628BB" w:rsidRDefault="002C5754">
      <w:pPr>
        <w:pStyle w:val="ListParagraph"/>
        <w:numPr>
          <w:ilvl w:val="0"/>
          <w:numId w:val="6"/>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Data Request Form / Data Deletion Form </w:t>
      </w:r>
    </w:p>
    <w:p w14:paraId="5B39D93F" w14:textId="77777777" w:rsidR="004628BB" w:rsidRDefault="002C5754">
      <w:pPr>
        <w:pStyle w:val="ListParagraph"/>
        <w:numPr>
          <w:ilvl w:val="0"/>
          <w:numId w:val="6"/>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Shredder (cross)</w:t>
      </w:r>
    </w:p>
    <w:p w14:paraId="5B39D940" w14:textId="77777777" w:rsidR="004628BB" w:rsidRDefault="002C5754">
      <w:p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If the Data Administrator has a breach reported to them or identifies are brief, the procedure detailed in </w:t>
      </w:r>
      <w:r>
        <w:rPr>
          <w:rFonts w:asciiTheme="minorHAnsi" w:hAnsiTheme="minorHAnsi" w:cstheme="minorHAnsi"/>
          <w:b/>
          <w:bCs/>
          <w:color w:val="000000" w:themeColor="text1"/>
          <w:u w:val="single"/>
        </w:rPr>
        <w:t>Section 6</w:t>
      </w:r>
      <w:r>
        <w:rPr>
          <w:rFonts w:asciiTheme="minorHAnsi" w:hAnsiTheme="minorHAnsi" w:cstheme="minorHAnsi"/>
          <w:color w:val="000000" w:themeColor="text1"/>
        </w:rPr>
        <w:t xml:space="preserve"> should be followed. If an individual request for data to be returned to them, </w:t>
      </w:r>
      <w:proofErr w:type="gramStart"/>
      <w:r>
        <w:rPr>
          <w:rFonts w:asciiTheme="minorHAnsi" w:hAnsiTheme="minorHAnsi" w:cstheme="minorHAnsi"/>
          <w:color w:val="000000" w:themeColor="text1"/>
        </w:rPr>
        <w:t>updated</w:t>
      </w:r>
      <w:proofErr w:type="gramEnd"/>
      <w:r>
        <w:rPr>
          <w:rFonts w:asciiTheme="minorHAnsi" w:hAnsiTheme="minorHAnsi" w:cstheme="minorHAnsi"/>
          <w:color w:val="000000" w:themeColor="text1"/>
        </w:rPr>
        <w:t xml:space="preserve"> or deleted, the Data Administrator should follow the procedure detailed in </w:t>
      </w:r>
      <w:r>
        <w:rPr>
          <w:rFonts w:asciiTheme="minorHAnsi" w:hAnsiTheme="minorHAnsi" w:cstheme="minorHAnsi"/>
          <w:b/>
          <w:bCs/>
          <w:color w:val="000000" w:themeColor="text1"/>
          <w:u w:val="single"/>
        </w:rPr>
        <w:t>Section 7</w:t>
      </w:r>
      <w:r>
        <w:rPr>
          <w:rFonts w:asciiTheme="minorHAnsi" w:hAnsiTheme="minorHAnsi" w:cstheme="minorHAnsi"/>
          <w:color w:val="000000" w:themeColor="text1"/>
        </w:rPr>
        <w:t xml:space="preserve">, including sending the individual a </w:t>
      </w:r>
      <w:r>
        <w:rPr>
          <w:rFonts w:asciiTheme="minorHAnsi" w:hAnsiTheme="minorHAnsi" w:cstheme="minorHAnsi"/>
          <w:i/>
          <w:iCs/>
          <w:color w:val="000000" w:themeColor="text1"/>
        </w:rPr>
        <w:t>Data Request Form</w:t>
      </w:r>
      <w:r>
        <w:rPr>
          <w:rFonts w:asciiTheme="minorHAnsi" w:hAnsiTheme="minorHAnsi" w:cstheme="minorHAnsi"/>
          <w:color w:val="000000" w:themeColor="text1"/>
        </w:rPr>
        <w:t>.</w:t>
      </w:r>
    </w:p>
    <w:p w14:paraId="5B39D941" w14:textId="77777777" w:rsidR="004628BB" w:rsidRDefault="002C5754">
      <w:pPr>
        <w:spacing w:before="100" w:beforeAutospacing="1" w:after="100" w:afterAutospacing="1"/>
        <w:rPr>
          <w:rFonts w:asciiTheme="minorHAnsi" w:hAnsiTheme="minorHAnsi" w:cstheme="minorHAnsi"/>
          <w:b/>
          <w:color w:val="000000" w:themeColor="text1"/>
        </w:rPr>
      </w:pPr>
      <w:r>
        <w:rPr>
          <w:rFonts w:asciiTheme="minorHAnsi" w:hAnsiTheme="minorHAnsi" w:cstheme="minorHAnsi"/>
          <w:b/>
          <w:color w:val="000000" w:themeColor="text1"/>
        </w:rPr>
        <w:t>Managing personal data</w:t>
      </w:r>
      <w:r>
        <w:rPr>
          <w:rFonts w:asciiTheme="minorHAnsi" w:hAnsiTheme="minorHAnsi" w:cstheme="minorHAnsi"/>
          <w:b/>
          <w:color w:val="000000" w:themeColor="text1"/>
        </w:rPr>
        <w:br/>
      </w:r>
      <w:r>
        <w:rPr>
          <w:rFonts w:asciiTheme="minorHAnsi" w:hAnsiTheme="minorHAnsi" w:cstheme="minorHAnsi"/>
          <w:color w:val="000000" w:themeColor="text1"/>
        </w:rPr>
        <w:t xml:space="preserve">There are five parts of the GPDR legislation critical for managing individual and personal data. Personal data </w:t>
      </w:r>
      <w:proofErr w:type="gramStart"/>
      <w:r>
        <w:rPr>
          <w:rFonts w:asciiTheme="minorHAnsi" w:hAnsiTheme="minorHAnsi" w:cstheme="minorHAnsi"/>
          <w:color w:val="000000" w:themeColor="text1"/>
        </w:rPr>
        <w:t>includes;</w:t>
      </w:r>
      <w:proofErr w:type="gramEnd"/>
      <w:r>
        <w:rPr>
          <w:rFonts w:asciiTheme="minorHAnsi" w:hAnsiTheme="minorHAnsi" w:cstheme="minorHAnsi"/>
          <w:color w:val="000000" w:themeColor="text1"/>
        </w:rPr>
        <w:t xml:space="preserve"> employee, freelancer, student, job applicant customer, business partner, contractor and supplier data. </w:t>
      </w:r>
    </w:p>
    <w:p w14:paraId="5B39D942" w14:textId="77777777" w:rsidR="004628BB" w:rsidRDefault="002C5754">
      <w:pPr>
        <w:pStyle w:val="NormalWeb"/>
        <w:jc w:val="both"/>
        <w:rPr>
          <w:rFonts w:asciiTheme="minorHAnsi" w:hAnsiTheme="minorHAnsi" w:cstheme="minorHAnsi"/>
          <w:color w:val="000000" w:themeColor="text1"/>
          <w:sz w:val="22"/>
          <w:szCs w:val="22"/>
        </w:rPr>
      </w:pPr>
      <w:bookmarkStart w:id="0" w:name="OLE_LINK2"/>
      <w:bookmarkStart w:id="1" w:name="OLE_LINK1"/>
      <w:r>
        <w:rPr>
          <w:rStyle w:val="Strong"/>
          <w:rFonts w:asciiTheme="minorHAnsi" w:hAnsiTheme="minorHAnsi" w:cstheme="minorHAnsi"/>
          <w:color w:val="000000" w:themeColor="text1"/>
          <w:sz w:val="22"/>
          <w:szCs w:val="22"/>
        </w:rPr>
        <w:t>1. Consent:</w:t>
      </w:r>
      <w:r>
        <w:rPr>
          <w:rFonts w:asciiTheme="minorHAnsi" w:hAnsiTheme="minorHAnsi" w:cstheme="minorHAnsi"/>
          <w:color w:val="000000" w:themeColor="text1"/>
          <w:sz w:val="22"/>
          <w:szCs w:val="22"/>
        </w:rPr>
        <w:t xml:space="preserve"> Businesses must ensure that individuals, whose personal data is being collected, understand how it’s being used and get their affirmative, unambiguous consent to use it. No more pre-ticked boxes, bundled permissions and suchlike will be allowed. The company must ensure that it as easy to withdraw consent as it is to give it, so the permission will need to be earned and maintained.</w:t>
      </w:r>
    </w:p>
    <w:p w14:paraId="5B39D943" w14:textId="77777777" w:rsidR="004628BB" w:rsidRDefault="002C5754">
      <w:pPr>
        <w:pStyle w:val="NormalWeb"/>
        <w:jc w:val="both"/>
        <w:rPr>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2. Profiling:</w:t>
      </w:r>
      <w:r>
        <w:rPr>
          <w:rFonts w:asciiTheme="minorHAnsi" w:hAnsiTheme="minorHAnsi" w:cstheme="minorHAnsi"/>
          <w:color w:val="000000" w:themeColor="text1"/>
          <w:sz w:val="22"/>
          <w:szCs w:val="22"/>
        </w:rPr>
        <w:t xml:space="preserve"> All individuals have the right to opt out of any form of automated profiling, which impacts everything from CRM and direct marketing to customised pricing. The company must be transparent about how data is being used and, critically, whether the value being created is balanced in the favour of the individual, whose personal data is being held.</w:t>
      </w:r>
    </w:p>
    <w:p w14:paraId="5B39D944" w14:textId="77777777" w:rsidR="004628BB" w:rsidRDefault="002C5754">
      <w:pPr>
        <w:pStyle w:val="NormalWeb"/>
        <w:jc w:val="both"/>
        <w:rPr>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3. The right to opt out of marketing:</w:t>
      </w:r>
      <w:r>
        <w:rPr>
          <w:rFonts w:asciiTheme="minorHAnsi" w:hAnsiTheme="minorHAnsi" w:cstheme="minorHAnsi"/>
          <w:color w:val="000000" w:themeColor="text1"/>
          <w:sz w:val="22"/>
          <w:szCs w:val="22"/>
        </w:rPr>
        <w:t xml:space="preserve"> Once this is requested, all marketing must stop immediately.</w:t>
      </w:r>
    </w:p>
    <w:p w14:paraId="5B39D945" w14:textId="77777777" w:rsidR="004628BB" w:rsidRDefault="002C5754">
      <w:pPr>
        <w:pStyle w:val="NormalWeb"/>
        <w:jc w:val="both"/>
        <w:rPr>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4. The right to be forgotten:</w:t>
      </w:r>
      <w:r>
        <w:rPr>
          <w:rFonts w:asciiTheme="minorHAnsi" w:hAnsiTheme="minorHAnsi" w:cstheme="minorHAnsi"/>
          <w:color w:val="000000" w:themeColor="text1"/>
          <w:sz w:val="22"/>
          <w:szCs w:val="22"/>
        </w:rPr>
        <w:t xml:space="preserve"> Once an individual has decided to leave, or cease business, they can request that </w:t>
      </w:r>
      <w:proofErr w:type="gramStart"/>
      <w:r>
        <w:rPr>
          <w:rFonts w:asciiTheme="minorHAnsi" w:hAnsiTheme="minorHAnsi" w:cstheme="minorHAnsi"/>
          <w:color w:val="000000" w:themeColor="text1"/>
          <w:sz w:val="22"/>
          <w:szCs w:val="22"/>
        </w:rPr>
        <w:t>all of</w:t>
      </w:r>
      <w:proofErr w:type="gramEnd"/>
      <w:r>
        <w:rPr>
          <w:rFonts w:asciiTheme="minorHAnsi" w:hAnsiTheme="minorHAnsi" w:cstheme="minorHAnsi"/>
          <w:color w:val="000000" w:themeColor="text1"/>
          <w:sz w:val="22"/>
          <w:szCs w:val="22"/>
        </w:rPr>
        <w:t xml:space="preserve"> their data is erased.</w:t>
      </w:r>
    </w:p>
    <w:p w14:paraId="5B39D946" w14:textId="77777777" w:rsidR="004628BB" w:rsidRDefault="002C5754">
      <w:pPr>
        <w:pStyle w:val="NormalWeb"/>
        <w:jc w:val="both"/>
        <w:rPr>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5. Data portability:</w:t>
      </w:r>
      <w:r>
        <w:rPr>
          <w:rFonts w:asciiTheme="minorHAnsi" w:hAnsiTheme="minorHAnsi" w:cstheme="minorHAnsi"/>
          <w:color w:val="000000" w:themeColor="text1"/>
          <w:sz w:val="22"/>
          <w:szCs w:val="22"/>
        </w:rPr>
        <w:t xml:space="preserve"> Individuals must be able to ask for a copy of their personal data in a portable, unencrypted, easy to access, machine-readable format.</w:t>
      </w:r>
    </w:p>
    <w:p w14:paraId="5B39D947" w14:textId="77777777" w:rsidR="004628BB" w:rsidRDefault="002C5754">
      <w:pPr>
        <w:pStyle w:val="NormalWeb"/>
        <w:rPr>
          <w:rFonts w:asciiTheme="minorHAnsi" w:hAnsiTheme="minorHAnsi" w:cstheme="minorHAnsi"/>
          <w:color w:val="000000" w:themeColor="text1"/>
        </w:rPr>
      </w:pPr>
      <w:r>
        <w:rPr>
          <w:rStyle w:val="Strong"/>
          <w:rFonts w:asciiTheme="minorHAnsi" w:hAnsiTheme="minorHAnsi" w:cstheme="minorHAnsi"/>
          <w:color w:val="000000" w:themeColor="text1"/>
        </w:rPr>
        <w:t>At all times</w:t>
      </w:r>
      <w:r>
        <w:rPr>
          <w:rFonts w:asciiTheme="minorHAnsi" w:hAnsiTheme="minorHAnsi" w:cstheme="minorHAnsi"/>
          <w:color w:val="000000" w:themeColor="text1"/>
        </w:rPr>
        <w:t>, ask yourself what would the customer, student, business partner, contractor and supplier want? GDPR is complicated and there are still areas where the guidance is not clear. If you can keep the customer at the centre of your decision-making process then you will at least be compliant with the spirit of GDPR, even if not the letter.</w:t>
      </w:r>
    </w:p>
    <w:p w14:paraId="5B39D948" w14:textId="77777777" w:rsidR="004628BB" w:rsidRDefault="002C5754">
      <w:pPr>
        <w:pStyle w:val="NormalWeb"/>
        <w:rPr>
          <w:rFonts w:asciiTheme="minorHAnsi" w:hAnsiTheme="minorHAnsi" w:cstheme="minorHAnsi"/>
          <w:b/>
          <w:color w:val="000000" w:themeColor="text1"/>
        </w:rPr>
      </w:pPr>
      <w:r>
        <w:rPr>
          <w:rFonts w:asciiTheme="minorHAnsi" w:hAnsiTheme="minorHAnsi" w:cstheme="minorHAnsi"/>
          <w:b/>
          <w:color w:val="000000" w:themeColor="text1"/>
        </w:rPr>
        <w:t>3) Planning Procedure</w:t>
      </w:r>
    </w:p>
    <w:p w14:paraId="5B39D949" w14:textId="77777777" w:rsidR="004628BB" w:rsidRDefault="002C5754">
      <w:pPr>
        <w:pStyle w:val="NormalWeb"/>
        <w:rPr>
          <w:rFonts w:asciiTheme="minorHAnsi" w:hAnsiTheme="minorHAnsi" w:cstheme="minorHAnsi"/>
          <w:color w:val="000000" w:themeColor="text1"/>
        </w:rPr>
      </w:pPr>
      <w:r>
        <w:rPr>
          <w:rFonts w:asciiTheme="minorHAnsi" w:hAnsiTheme="minorHAnsi" w:cstheme="minorHAnsi"/>
          <w:b/>
          <w:color w:val="000000" w:themeColor="text1"/>
        </w:rPr>
        <w:t>Planning and communication:</w:t>
      </w:r>
      <w:r>
        <w:rPr>
          <w:rFonts w:asciiTheme="minorHAnsi" w:hAnsiTheme="minorHAnsi" w:cstheme="minorHAnsi"/>
          <w:b/>
          <w:color w:val="000000" w:themeColor="text1"/>
        </w:rPr>
        <w:br/>
      </w:r>
      <w:r>
        <w:rPr>
          <w:rFonts w:asciiTheme="minorHAnsi" w:hAnsiTheme="minorHAnsi" w:cstheme="minorHAnsi"/>
          <w:color w:val="000000" w:themeColor="text1"/>
        </w:rPr>
        <w:t xml:space="preserve">Each Department Head and Data Administrators should be sent a copy of this document, Strive Privacy Statement, Data Deletion Form, Data Request Form. </w:t>
      </w:r>
      <w:bookmarkEnd w:id="0"/>
      <w:bookmarkEnd w:id="1"/>
      <w:r>
        <w:rPr>
          <w:rFonts w:asciiTheme="minorHAnsi" w:hAnsiTheme="minorHAnsi" w:cstheme="minorHAnsi"/>
          <w:color w:val="000000" w:themeColor="text1"/>
        </w:rPr>
        <w:t>Business partners, freelancers and any other 3</w:t>
      </w:r>
      <w:r>
        <w:rPr>
          <w:rFonts w:asciiTheme="minorHAnsi" w:hAnsiTheme="minorHAnsi" w:cstheme="minorHAnsi"/>
          <w:color w:val="000000" w:themeColor="text1"/>
          <w:vertAlign w:val="superscript"/>
        </w:rPr>
        <w:t>rd</w:t>
      </w:r>
      <w:r>
        <w:rPr>
          <w:rFonts w:asciiTheme="minorHAnsi" w:hAnsiTheme="minorHAnsi" w:cstheme="minorHAnsi"/>
          <w:color w:val="000000" w:themeColor="text1"/>
        </w:rPr>
        <w:t xml:space="preserve"> parties jointly holding personal data on behalf of the company should also be sent a copy of this document. A master version of this list will be held and provide definitive guidance on the storage and access to data.</w:t>
      </w:r>
    </w:p>
    <w:p w14:paraId="5B39D94A"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themeColor="text1"/>
        </w:rPr>
      </w:pPr>
      <w:r>
        <w:rPr>
          <w:rFonts w:asciiTheme="minorHAnsi" w:hAnsiTheme="minorHAnsi" w:cstheme="minorHAnsi"/>
          <w:b/>
          <w:color w:val="000000" w:themeColor="text1"/>
        </w:rPr>
        <w:t>Data audit overview</w:t>
      </w:r>
      <w:r>
        <w:rPr>
          <w:rFonts w:asciiTheme="minorHAnsi" w:hAnsiTheme="minorHAnsi" w:cstheme="minorHAnsi"/>
          <w:b/>
          <w:color w:val="000000" w:themeColor="text1"/>
        </w:rPr>
        <w:br/>
      </w:r>
      <w:r>
        <w:rPr>
          <w:rFonts w:asciiTheme="minorHAnsi" w:hAnsiTheme="minorHAnsi" w:cstheme="minorHAnsi"/>
          <w:color w:val="000000" w:themeColor="text1"/>
        </w:rPr>
        <w:t xml:space="preserve">An audit of all identified personal data should be held on an </w:t>
      </w:r>
      <w:r>
        <w:rPr>
          <w:rFonts w:asciiTheme="minorHAnsi" w:hAnsiTheme="minorHAnsi" w:cstheme="minorHAnsi"/>
          <w:color w:val="000000" w:themeColor="text1"/>
          <w:u w:val="single"/>
        </w:rPr>
        <w:t>annual</w:t>
      </w:r>
      <w:r>
        <w:rPr>
          <w:rFonts w:asciiTheme="minorHAnsi" w:hAnsiTheme="minorHAnsi" w:cstheme="minorHAnsi"/>
          <w:color w:val="000000" w:themeColor="text1"/>
        </w:rPr>
        <w:t xml:space="preserve"> basis, in </w:t>
      </w:r>
      <w:r>
        <w:rPr>
          <w:rFonts w:asciiTheme="minorHAnsi" w:hAnsiTheme="minorHAnsi" w:cstheme="minorHAnsi"/>
          <w:color w:val="000000" w:themeColor="text1"/>
        </w:rPr>
        <w:lastRenderedPageBreak/>
        <w:t xml:space="preserve">November of each year. Interim data audits should be held immediately if new categories of personal data are identified, or upon changes to any data storage, </w:t>
      </w:r>
      <w:proofErr w:type="gramStart"/>
      <w:r>
        <w:rPr>
          <w:rFonts w:asciiTheme="minorHAnsi" w:hAnsiTheme="minorHAnsi" w:cstheme="minorHAnsi"/>
          <w:color w:val="000000" w:themeColor="text1"/>
        </w:rPr>
        <w:t>hosting</w:t>
      </w:r>
      <w:proofErr w:type="gramEnd"/>
      <w:r>
        <w:rPr>
          <w:rFonts w:asciiTheme="minorHAnsi" w:hAnsiTheme="minorHAnsi" w:cstheme="minorHAnsi"/>
          <w:color w:val="000000" w:themeColor="text1"/>
        </w:rPr>
        <w:t xml:space="preserve"> or security measures.</w:t>
      </w:r>
    </w:p>
    <w:p w14:paraId="5B39D94B"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themeColor="text1"/>
        </w:rPr>
      </w:pPr>
      <w:r>
        <w:rPr>
          <w:rFonts w:asciiTheme="minorHAnsi" w:hAnsiTheme="minorHAnsi" w:cstheme="minorHAnsi"/>
          <w:b/>
          <w:color w:val="000000" w:themeColor="text1"/>
        </w:rPr>
        <w:t>Data Audit Procedure</w:t>
      </w:r>
      <w:r>
        <w:rPr>
          <w:rFonts w:asciiTheme="minorHAnsi" w:hAnsiTheme="minorHAnsi" w:cstheme="minorHAnsi"/>
          <w:color w:val="000000" w:themeColor="text1"/>
        </w:rPr>
        <w:br/>
        <w:t xml:space="preserve">Each year, the Data Protection </w:t>
      </w:r>
      <w:r>
        <w:rPr>
          <w:rFonts w:asciiTheme="minorHAnsi" w:hAnsiTheme="minorHAnsi" w:cstheme="minorHAnsi"/>
          <w:color w:val="000000" w:themeColor="text1"/>
        </w:rPr>
        <w:t>Officer will send each Data Administrator a copy of the Data Audit Form for completion. All information provided by the Data Protection Officer must be easy to understand by those unfamiliar with data protection issues. Upon completion, this form is returned to the Data Protection Officer. Data Administrators should complete and send this form immediately if new categories of data are expected to be held, or if there are changes in security systems or data hosting.</w:t>
      </w:r>
    </w:p>
    <w:p w14:paraId="5B39D94C" w14:textId="77777777" w:rsidR="004628BB" w:rsidRDefault="002C5754">
      <w:pPr>
        <w:autoSpaceDE w:val="0"/>
        <w:autoSpaceDN w:val="0"/>
        <w:adjustRightInd w:val="0"/>
        <w:rPr>
          <w:rFonts w:asciiTheme="minorHAnsi" w:hAnsiTheme="minorHAnsi" w:cstheme="minorHAnsi"/>
          <w:b/>
        </w:rPr>
      </w:pPr>
      <w:r>
        <w:rPr>
          <w:rFonts w:asciiTheme="minorHAnsi" w:hAnsiTheme="minorHAnsi" w:cstheme="minorHAnsi"/>
          <w:b/>
        </w:rPr>
        <w:t>Privacy Impact Assessment (PIA)</w:t>
      </w:r>
    </w:p>
    <w:p w14:paraId="5B39D94D" w14:textId="77777777" w:rsidR="004628BB" w:rsidRDefault="002C5754">
      <w:pPr>
        <w:autoSpaceDE w:val="0"/>
        <w:autoSpaceDN w:val="0"/>
        <w:adjustRightInd w:val="0"/>
        <w:rPr>
          <w:rFonts w:asciiTheme="minorHAnsi" w:hAnsiTheme="minorHAnsi" w:cstheme="minorHAnsi"/>
        </w:rPr>
      </w:pPr>
      <w:r>
        <w:rPr>
          <w:rFonts w:asciiTheme="minorHAnsi" w:hAnsiTheme="minorHAnsi" w:cstheme="minorHAnsi"/>
        </w:rPr>
        <w:t xml:space="preserve">Upon </w:t>
      </w:r>
      <w:r>
        <w:rPr>
          <w:rFonts w:asciiTheme="minorHAnsi" w:hAnsiTheme="minorHAnsi" w:cstheme="minorHAnsi"/>
        </w:rPr>
        <w:t>receipt of completed data audit forms, the Data Protection Officer, will add new data to a Master Data Spreadsheet.</w:t>
      </w:r>
    </w:p>
    <w:p w14:paraId="5B39D94E" w14:textId="77777777" w:rsidR="004628BB" w:rsidRDefault="004628BB">
      <w:pPr>
        <w:autoSpaceDE w:val="0"/>
        <w:autoSpaceDN w:val="0"/>
        <w:adjustRightInd w:val="0"/>
        <w:rPr>
          <w:rFonts w:asciiTheme="minorHAnsi" w:hAnsiTheme="minorHAnsi" w:cstheme="minorHAnsi"/>
        </w:rPr>
      </w:pPr>
    </w:p>
    <w:p w14:paraId="5B39D94F" w14:textId="77777777" w:rsidR="004628BB" w:rsidRDefault="002C5754">
      <w:pPr>
        <w:autoSpaceDE w:val="0"/>
        <w:autoSpaceDN w:val="0"/>
        <w:adjustRightInd w:val="0"/>
        <w:rPr>
          <w:rFonts w:asciiTheme="minorHAnsi" w:hAnsiTheme="minorHAnsi" w:cstheme="minorHAnsi"/>
        </w:rPr>
      </w:pPr>
      <w:r>
        <w:rPr>
          <w:rFonts w:asciiTheme="minorHAnsi" w:hAnsiTheme="minorHAnsi" w:cstheme="minorHAnsi"/>
        </w:rPr>
        <w:t>An additional assessment will be then conducted by the Data Protection Officer. This is called a Privacy Impact Assessment (PIA). The PIA is an audit/assessment within each data administrator Group (stakeholders). The outcome of a PIA should be a minimisation of privacy risk.</w:t>
      </w:r>
    </w:p>
    <w:p w14:paraId="5B39D950" w14:textId="77777777" w:rsidR="004628BB" w:rsidRDefault="002C5754">
      <w:p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Within the PIA, the Data Protection Officer will assess the legal grounds for processing data. Where consent is currently relied on, check </w:t>
      </w:r>
      <w:proofErr w:type="gramStart"/>
      <w:r>
        <w:rPr>
          <w:rFonts w:asciiTheme="minorHAnsi" w:hAnsiTheme="minorHAnsi" w:cstheme="minorHAnsi"/>
          <w:color w:val="000000" w:themeColor="text1"/>
        </w:rPr>
        <w:t>whether or not</w:t>
      </w:r>
      <w:proofErr w:type="gramEnd"/>
      <w:r>
        <w:rPr>
          <w:rFonts w:asciiTheme="minorHAnsi" w:hAnsiTheme="minorHAnsi" w:cstheme="minorHAnsi"/>
          <w:color w:val="000000" w:themeColor="text1"/>
        </w:rPr>
        <w:t xml:space="preserve"> it meets GDPR requirements and remember that consent may be revoked at any time. Employers will generally need to rely on one of the other legal grounds to continue to process employee personal data.</w:t>
      </w:r>
    </w:p>
    <w:p w14:paraId="5B39D951" w14:textId="77777777" w:rsidR="004628BB" w:rsidRDefault="002C5754">
      <w:pPr>
        <w:autoSpaceDE w:val="0"/>
        <w:autoSpaceDN w:val="0"/>
        <w:adjustRightInd w:val="0"/>
        <w:rPr>
          <w:rFonts w:asciiTheme="minorHAnsi" w:hAnsiTheme="minorHAnsi" w:cstheme="minorHAnsi"/>
        </w:rPr>
      </w:pPr>
      <w:r>
        <w:rPr>
          <w:rFonts w:asciiTheme="minorHAnsi" w:hAnsiTheme="minorHAnsi" w:cstheme="minorHAnsi"/>
        </w:rPr>
        <w:t>Upon completion of the PIA, the Data Protection Officer will update the master data spreadsheet in compliance with GDPR law and other legislation impacting on data retention policy. The completed master spreadsheet will include a mandatory retention period and data risk level.</w:t>
      </w:r>
    </w:p>
    <w:p w14:paraId="5B39D952"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rPr>
      </w:pPr>
    </w:p>
    <w:p w14:paraId="5B39D953" w14:textId="77777777" w:rsidR="004628BB" w:rsidRDefault="002C5754">
      <w:pPr>
        <w:pStyle w:val="NormalWeb"/>
        <w:shd w:val="clear" w:color="auto" w:fill="FFFFFF"/>
        <w:spacing w:before="0" w:beforeAutospacing="0" w:after="240" w:afterAutospacing="0"/>
        <w:rPr>
          <w:rFonts w:asciiTheme="minorHAnsi" w:hAnsiTheme="minorHAnsi" w:cstheme="minorHAnsi"/>
          <w:b/>
          <w:color w:val="000000"/>
          <w:sz w:val="28"/>
          <w:szCs w:val="28"/>
        </w:rPr>
      </w:pPr>
      <w:r>
        <w:rPr>
          <w:rFonts w:asciiTheme="minorHAnsi" w:hAnsiTheme="minorHAnsi" w:cstheme="minorHAnsi"/>
          <w:b/>
          <w:color w:val="000000"/>
          <w:sz w:val="28"/>
          <w:szCs w:val="28"/>
        </w:rPr>
        <w:t>4) Privacy Notices</w:t>
      </w:r>
    </w:p>
    <w:p w14:paraId="5B39D954" w14:textId="77777777" w:rsidR="004628BB" w:rsidRDefault="002C5754">
      <w:pPr>
        <w:pStyle w:val="NormalWeb"/>
        <w:shd w:val="clear" w:color="auto" w:fill="FFFFFF"/>
        <w:spacing w:before="0" w:beforeAutospacing="0" w:after="240" w:afterAutospacing="0"/>
        <w:rPr>
          <w:rFonts w:asciiTheme="minorHAnsi" w:hAnsiTheme="minorHAnsi" w:cstheme="minorHAnsi"/>
          <w:b/>
          <w:color w:val="000000"/>
        </w:rPr>
      </w:pPr>
      <w:r>
        <w:rPr>
          <w:rFonts w:asciiTheme="minorHAnsi" w:hAnsiTheme="minorHAnsi" w:cstheme="minorHAnsi"/>
          <w:b/>
          <w:color w:val="000000"/>
        </w:rPr>
        <w:br/>
      </w:r>
      <w:r>
        <w:rPr>
          <w:rFonts w:asciiTheme="minorHAnsi" w:hAnsiTheme="minorHAnsi" w:cstheme="minorHAnsi"/>
          <w:color w:val="000000"/>
        </w:rPr>
        <w:t xml:space="preserve">A Privacy Notice ensures all individuals are informed of what personal data we wish to hold. This notice also clarifies why and how we wish to hold and of the security systems and retention periods applied to their data. </w:t>
      </w:r>
    </w:p>
    <w:p w14:paraId="5B39D955"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A Privacy notice should be to tell people:</w:t>
      </w:r>
    </w:p>
    <w:p w14:paraId="5B39D956" w14:textId="77777777" w:rsidR="004628BB" w:rsidRDefault="002C5754">
      <w:pPr>
        <w:pStyle w:val="ListParagraph"/>
        <w:numPr>
          <w:ilvl w:val="0"/>
          <w:numId w:val="7"/>
        </w:numPr>
        <w:shd w:val="clear" w:color="auto" w:fill="FFFFFF"/>
        <w:spacing w:before="100" w:beforeAutospacing="1" w:after="100" w:afterAutospacing="1"/>
        <w:rPr>
          <w:rFonts w:asciiTheme="minorHAnsi" w:hAnsiTheme="minorHAnsi" w:cstheme="minorHAnsi"/>
          <w:color w:val="000000"/>
        </w:rPr>
      </w:pPr>
      <w:r>
        <w:rPr>
          <w:rFonts w:asciiTheme="minorHAnsi" w:hAnsiTheme="minorHAnsi" w:cstheme="minorHAnsi"/>
          <w:color w:val="000000"/>
        </w:rPr>
        <w:t xml:space="preserve">Who you </w:t>
      </w:r>
      <w:proofErr w:type="gramStart"/>
      <w:r>
        <w:rPr>
          <w:rFonts w:asciiTheme="minorHAnsi" w:hAnsiTheme="minorHAnsi" w:cstheme="minorHAnsi"/>
          <w:color w:val="000000"/>
        </w:rPr>
        <w:t>are;</w:t>
      </w:r>
      <w:proofErr w:type="gramEnd"/>
    </w:p>
    <w:p w14:paraId="5B39D957" w14:textId="77777777" w:rsidR="004628BB" w:rsidRDefault="002C5754">
      <w:pPr>
        <w:pStyle w:val="ListParagraph"/>
        <w:numPr>
          <w:ilvl w:val="0"/>
          <w:numId w:val="7"/>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 xml:space="preserve">What you are going to do with their </w:t>
      </w:r>
      <w:proofErr w:type="gramStart"/>
      <w:r>
        <w:rPr>
          <w:rFonts w:asciiTheme="minorHAnsi" w:hAnsiTheme="minorHAnsi" w:cstheme="minorHAnsi"/>
          <w:color w:val="000000"/>
        </w:rPr>
        <w:t>information;</w:t>
      </w:r>
      <w:proofErr w:type="gramEnd"/>
      <w:r>
        <w:rPr>
          <w:rFonts w:asciiTheme="minorHAnsi" w:hAnsiTheme="minorHAnsi" w:cstheme="minorHAnsi"/>
          <w:color w:val="000000"/>
        </w:rPr>
        <w:t xml:space="preserve"> </w:t>
      </w:r>
    </w:p>
    <w:p w14:paraId="5B39D958" w14:textId="77777777" w:rsidR="004628BB" w:rsidRDefault="002C5754">
      <w:pPr>
        <w:pStyle w:val="ListParagraph"/>
        <w:numPr>
          <w:ilvl w:val="0"/>
          <w:numId w:val="7"/>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Who it will be shared with.</w:t>
      </w:r>
    </w:p>
    <w:p w14:paraId="5B39D959"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lastRenderedPageBreak/>
        <w:t>To cover all these elements, you will need to consider the following issues when planning a privacy notice:</w:t>
      </w:r>
    </w:p>
    <w:p w14:paraId="5B39D95A" w14:textId="77777777" w:rsidR="004628BB" w:rsidRDefault="002C5754">
      <w:pPr>
        <w:pStyle w:val="ListParagraph"/>
        <w:numPr>
          <w:ilvl w:val="0"/>
          <w:numId w:val="7"/>
        </w:numPr>
        <w:shd w:val="clear" w:color="auto" w:fill="FFFFFF"/>
        <w:spacing w:before="100" w:beforeAutospacing="1" w:after="100" w:afterAutospacing="1"/>
        <w:rPr>
          <w:rFonts w:asciiTheme="minorHAnsi" w:hAnsiTheme="minorHAnsi" w:cstheme="minorHAnsi"/>
          <w:color w:val="000000"/>
        </w:rPr>
      </w:pPr>
      <w:r>
        <w:rPr>
          <w:rFonts w:asciiTheme="minorHAnsi" w:hAnsiTheme="minorHAnsi" w:cstheme="minorHAnsi"/>
          <w:color w:val="000000"/>
        </w:rPr>
        <w:t>What information is being collected?</w:t>
      </w:r>
    </w:p>
    <w:p w14:paraId="5B39D95B" w14:textId="77777777" w:rsidR="004628BB" w:rsidRDefault="002C5754">
      <w:pPr>
        <w:pStyle w:val="ListParagraph"/>
        <w:numPr>
          <w:ilvl w:val="0"/>
          <w:numId w:val="7"/>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Who is collecting it?</w:t>
      </w:r>
    </w:p>
    <w:p w14:paraId="5B39D95C" w14:textId="77777777" w:rsidR="004628BB" w:rsidRDefault="002C5754">
      <w:pPr>
        <w:pStyle w:val="ListParagraph"/>
        <w:numPr>
          <w:ilvl w:val="0"/>
          <w:numId w:val="7"/>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How is it collected?</w:t>
      </w:r>
    </w:p>
    <w:p w14:paraId="5B39D95D" w14:textId="77777777" w:rsidR="004628BB" w:rsidRDefault="002C5754">
      <w:pPr>
        <w:pStyle w:val="ListParagraph"/>
        <w:numPr>
          <w:ilvl w:val="0"/>
          <w:numId w:val="7"/>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Why is it being collected?</w:t>
      </w:r>
    </w:p>
    <w:p w14:paraId="5B39D95E" w14:textId="77777777" w:rsidR="004628BB" w:rsidRDefault="002C5754">
      <w:pPr>
        <w:pStyle w:val="ListParagraph"/>
        <w:numPr>
          <w:ilvl w:val="0"/>
          <w:numId w:val="7"/>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How will it be used?</w:t>
      </w:r>
    </w:p>
    <w:p w14:paraId="5B39D95F" w14:textId="77777777" w:rsidR="004628BB" w:rsidRDefault="002C5754">
      <w:pPr>
        <w:pStyle w:val="ListParagraph"/>
        <w:numPr>
          <w:ilvl w:val="0"/>
          <w:numId w:val="7"/>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Who will it be shared with?</w:t>
      </w:r>
    </w:p>
    <w:p w14:paraId="5B39D960"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 xml:space="preserve">Where you need consent from an individual </w:t>
      </w:r>
      <w:proofErr w:type="gramStart"/>
      <w:r>
        <w:rPr>
          <w:rFonts w:asciiTheme="minorHAnsi" w:hAnsiTheme="minorHAnsi" w:cstheme="minorHAnsi"/>
          <w:color w:val="000000"/>
        </w:rPr>
        <w:t>in order to</w:t>
      </w:r>
      <w:proofErr w:type="gramEnd"/>
      <w:r>
        <w:rPr>
          <w:rFonts w:asciiTheme="minorHAnsi" w:hAnsiTheme="minorHAnsi" w:cstheme="minorHAnsi"/>
          <w:color w:val="000000"/>
        </w:rPr>
        <w:t xml:space="preserve"> process their information you need to explain what you are asking </w:t>
      </w:r>
      <w:r>
        <w:rPr>
          <w:rFonts w:asciiTheme="minorHAnsi" w:hAnsiTheme="minorHAnsi" w:cstheme="minorHAnsi"/>
          <w:color w:val="000000"/>
        </w:rPr>
        <w:t>them to agree to and why. This will often go hand in hand with providing privacy notices. Therefore, the code also includes information about obtaining consent.</w:t>
      </w:r>
    </w:p>
    <w:p w14:paraId="5B39D961"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It is important to make sure that where people do have a choice, they are given a genuine opportunity to exercise it. This means that it must be freely given, specific and fully informed. Consent must also be revocable (</w:t>
      </w:r>
      <w:proofErr w:type="gramStart"/>
      <w:r>
        <w:rPr>
          <w:rFonts w:asciiTheme="minorHAnsi" w:hAnsiTheme="minorHAnsi" w:cstheme="minorHAnsi"/>
          <w:color w:val="000000"/>
        </w:rPr>
        <w:t>i.e.</w:t>
      </w:r>
      <w:proofErr w:type="gramEnd"/>
      <w:r>
        <w:rPr>
          <w:rFonts w:asciiTheme="minorHAnsi" w:hAnsiTheme="minorHAnsi" w:cstheme="minorHAnsi"/>
          <w:color w:val="000000"/>
        </w:rPr>
        <w:t xml:space="preserve"> people must be able to withdraw their consent) and you should have procedures in place to action and record it when this happens.</w:t>
      </w:r>
    </w:p>
    <w:p w14:paraId="5B39D962"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 xml:space="preserve">You should always be honest with the public and not lead them to believe that they can exercise choice over the collection and use of their personal information when </w:t>
      </w:r>
      <w:proofErr w:type="gramStart"/>
      <w:r>
        <w:rPr>
          <w:rFonts w:asciiTheme="minorHAnsi" w:hAnsiTheme="minorHAnsi" w:cstheme="minorHAnsi"/>
          <w:color w:val="000000"/>
        </w:rPr>
        <w:t>in reality they</w:t>
      </w:r>
      <w:proofErr w:type="gramEnd"/>
      <w:r>
        <w:rPr>
          <w:rFonts w:asciiTheme="minorHAnsi" w:hAnsiTheme="minorHAnsi" w:cstheme="minorHAnsi"/>
          <w:color w:val="000000"/>
        </w:rPr>
        <w:t xml:space="preserve"> cannot.</w:t>
      </w:r>
    </w:p>
    <w:p w14:paraId="5B39D963"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There are some cases in which consent is not relevant, for example if individuals are required by law to provide their personal details. Giving people control and choice over how their personal data will be processed will not always be applicable in other situations, for example in an employer/employee relationship.</w:t>
      </w:r>
    </w:p>
    <w:p w14:paraId="5B39D964"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 xml:space="preserve">In </w:t>
      </w:r>
      <w:proofErr w:type="gramStart"/>
      <w:r>
        <w:rPr>
          <w:rFonts w:asciiTheme="minorHAnsi" w:hAnsiTheme="minorHAnsi" w:cstheme="minorHAnsi"/>
          <w:color w:val="000000"/>
        </w:rPr>
        <w:t>all of</w:t>
      </w:r>
      <w:proofErr w:type="gramEnd"/>
      <w:r>
        <w:rPr>
          <w:rFonts w:asciiTheme="minorHAnsi" w:hAnsiTheme="minorHAnsi" w:cstheme="minorHAnsi"/>
          <w:color w:val="000000"/>
        </w:rPr>
        <w:t xml:space="preserve"> these cases it is still important to be fair and transparent. Ensuring you have effective privacy notices can help you to achieve this.</w:t>
      </w:r>
    </w:p>
    <w:p w14:paraId="5B39D965" w14:textId="77777777" w:rsidR="004628BB" w:rsidRDefault="002C5754">
      <w:pPr>
        <w:pStyle w:val="NormalWeb"/>
        <w:shd w:val="clear" w:color="auto" w:fill="FFFFFF"/>
        <w:spacing w:before="0" w:beforeAutospacing="0" w:after="240" w:afterAutospacing="0"/>
        <w:rPr>
          <w:rFonts w:asciiTheme="minorHAnsi" w:hAnsiTheme="minorHAnsi" w:cstheme="minorHAnsi"/>
          <w:b/>
          <w:color w:val="000000"/>
        </w:rPr>
      </w:pPr>
      <w:r>
        <w:rPr>
          <w:rFonts w:asciiTheme="minorHAnsi" w:hAnsiTheme="minorHAnsi" w:cstheme="minorHAnsi"/>
          <w:b/>
          <w:color w:val="000000"/>
        </w:rPr>
        <w:t>Gaining consent</w:t>
      </w:r>
      <w:r>
        <w:rPr>
          <w:rFonts w:asciiTheme="minorHAnsi" w:hAnsiTheme="minorHAnsi" w:cstheme="minorHAnsi"/>
          <w:b/>
          <w:color w:val="000000"/>
        </w:rPr>
        <w:br/>
      </w:r>
      <w:r>
        <w:rPr>
          <w:rFonts w:asciiTheme="minorHAnsi" w:hAnsiTheme="minorHAnsi" w:cstheme="minorHAnsi"/>
          <w:color w:val="000000"/>
        </w:rPr>
        <w:t>You need to consider how you will gain and record individuals’ consent, if required. There is a fundamental difference between telling a person how you’re going to use their personal information and getting their consent. Although in many cases it is enough to be transparent, and rely on a lawful basis other than consent, in others a positive indication of an individual’s agreement will be needed.</w:t>
      </w:r>
    </w:p>
    <w:p w14:paraId="5B39D966"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When relying on consent, your method of obtaining it should:</w:t>
      </w:r>
    </w:p>
    <w:p w14:paraId="5B39D967" w14:textId="77777777" w:rsidR="004628BB" w:rsidRDefault="002C5754">
      <w:pPr>
        <w:pStyle w:val="ListParagraph"/>
        <w:numPr>
          <w:ilvl w:val="0"/>
          <w:numId w:val="8"/>
        </w:numPr>
        <w:shd w:val="clear" w:color="auto" w:fill="FFFFFF"/>
        <w:spacing w:before="100" w:beforeAutospacing="1" w:after="100" w:afterAutospacing="1"/>
        <w:rPr>
          <w:rFonts w:asciiTheme="minorHAnsi" w:hAnsiTheme="minorHAnsi" w:cstheme="minorHAnsi"/>
          <w:color w:val="000000"/>
        </w:rPr>
      </w:pPr>
      <w:r>
        <w:rPr>
          <w:rFonts w:asciiTheme="minorHAnsi" w:hAnsiTheme="minorHAnsi" w:cstheme="minorHAnsi"/>
          <w:color w:val="000000"/>
        </w:rPr>
        <w:t xml:space="preserve">Be displayed clearly and </w:t>
      </w:r>
      <w:proofErr w:type="gramStart"/>
      <w:r>
        <w:rPr>
          <w:rFonts w:asciiTheme="minorHAnsi" w:hAnsiTheme="minorHAnsi" w:cstheme="minorHAnsi"/>
          <w:color w:val="000000"/>
        </w:rPr>
        <w:t>prominently;</w:t>
      </w:r>
      <w:proofErr w:type="gramEnd"/>
    </w:p>
    <w:p w14:paraId="5B39D968" w14:textId="77777777" w:rsidR="004628BB" w:rsidRDefault="002C5754">
      <w:pPr>
        <w:pStyle w:val="ListParagraph"/>
        <w:numPr>
          <w:ilvl w:val="0"/>
          <w:numId w:val="8"/>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Ask individuals to positively opt-in, in line with good practice; and</w:t>
      </w:r>
    </w:p>
    <w:p w14:paraId="5B39D969" w14:textId="77777777" w:rsidR="004628BB" w:rsidRDefault="002C5754">
      <w:pPr>
        <w:pStyle w:val="ListParagraph"/>
        <w:numPr>
          <w:ilvl w:val="0"/>
          <w:numId w:val="8"/>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 xml:space="preserve">Give them sufficient information to make a </w:t>
      </w:r>
      <w:proofErr w:type="gramStart"/>
      <w:r>
        <w:rPr>
          <w:rFonts w:asciiTheme="minorHAnsi" w:hAnsiTheme="minorHAnsi" w:cstheme="minorHAnsi"/>
          <w:color w:val="000000"/>
        </w:rPr>
        <w:t>choice</w:t>
      </w:r>
      <w:proofErr w:type="gramEnd"/>
    </w:p>
    <w:p w14:paraId="5B39D96A" w14:textId="77777777" w:rsidR="004628BB" w:rsidRDefault="002C5754">
      <w:p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lastRenderedPageBreak/>
        <w:t xml:space="preserve">If your consent mechanism consists solely of an “I agree” box with no supporting </w:t>
      </w:r>
      <w:proofErr w:type="gramStart"/>
      <w:r>
        <w:rPr>
          <w:rFonts w:asciiTheme="minorHAnsi" w:hAnsiTheme="minorHAnsi" w:cstheme="minorHAnsi"/>
          <w:color w:val="000000"/>
        </w:rPr>
        <w:t>information</w:t>
      </w:r>
      <w:proofErr w:type="gramEnd"/>
      <w:r>
        <w:rPr>
          <w:rFonts w:asciiTheme="minorHAnsi" w:hAnsiTheme="minorHAnsi" w:cstheme="minorHAnsi"/>
          <w:color w:val="000000"/>
        </w:rPr>
        <w:t xml:space="preserve"> then users are unlikely to be fully informed and the consent cannot be considered valid.</w:t>
      </w:r>
    </w:p>
    <w:p w14:paraId="5B39D96B"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 xml:space="preserve">In </w:t>
      </w:r>
      <w:proofErr w:type="gramStart"/>
      <w:r>
        <w:rPr>
          <w:rFonts w:asciiTheme="minorHAnsi" w:hAnsiTheme="minorHAnsi" w:cstheme="minorHAnsi"/>
          <w:color w:val="000000"/>
        </w:rPr>
        <w:t>addition</w:t>
      </w:r>
      <w:proofErr w:type="gramEnd"/>
      <w:r>
        <w:rPr>
          <w:rFonts w:asciiTheme="minorHAnsi" w:hAnsiTheme="minorHAnsi" w:cstheme="minorHAnsi"/>
          <w:color w:val="000000"/>
        </w:rPr>
        <w:t xml:space="preserve"> if you are processing information for a range of purposes you should:</w:t>
      </w:r>
    </w:p>
    <w:p w14:paraId="5B39D96C" w14:textId="77777777" w:rsidR="004628BB" w:rsidRDefault="002C5754">
      <w:pPr>
        <w:pStyle w:val="ListParagraph"/>
        <w:numPr>
          <w:ilvl w:val="0"/>
          <w:numId w:val="9"/>
        </w:numPr>
        <w:shd w:val="clear" w:color="auto" w:fill="FFFFFF"/>
        <w:spacing w:before="100" w:beforeAutospacing="1" w:after="100" w:afterAutospacing="1"/>
        <w:rPr>
          <w:rFonts w:asciiTheme="minorHAnsi" w:hAnsiTheme="minorHAnsi" w:cstheme="minorHAnsi"/>
          <w:color w:val="000000"/>
        </w:rPr>
      </w:pPr>
      <w:r>
        <w:rPr>
          <w:rFonts w:asciiTheme="minorHAnsi" w:hAnsiTheme="minorHAnsi" w:cstheme="minorHAnsi"/>
          <w:color w:val="000000"/>
        </w:rPr>
        <w:t>Explain the different ways you will use their information; and</w:t>
      </w:r>
    </w:p>
    <w:p w14:paraId="5B39D96D" w14:textId="77777777" w:rsidR="004628BB" w:rsidRDefault="002C5754">
      <w:pPr>
        <w:pStyle w:val="ListParagraph"/>
        <w:numPr>
          <w:ilvl w:val="0"/>
          <w:numId w:val="9"/>
        </w:num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Provide a clear and simple way for them to indicate they agree to different types of processing.</w:t>
      </w:r>
    </w:p>
    <w:p w14:paraId="5B39D96E" w14:textId="77777777" w:rsidR="004628BB" w:rsidRDefault="002C5754">
      <w:pPr>
        <w:shd w:val="clear" w:color="auto" w:fill="FFFFFF"/>
        <w:spacing w:before="120" w:after="100" w:afterAutospacing="1"/>
        <w:rPr>
          <w:rFonts w:asciiTheme="minorHAnsi" w:hAnsiTheme="minorHAnsi" w:cstheme="minorHAnsi"/>
          <w:color w:val="000000"/>
        </w:rPr>
      </w:pPr>
      <w:r>
        <w:rPr>
          <w:rFonts w:asciiTheme="minorHAnsi" w:hAnsiTheme="minorHAnsi" w:cstheme="minorHAnsi"/>
          <w:color w:val="000000"/>
        </w:rPr>
        <w:t>In other words, people should not be forced to agree to several types of processing simply because your privacy notice only includes an option to agree or disagree to all. People may wish to consent to their information being used for one purpose but not another.</w:t>
      </w:r>
    </w:p>
    <w:p w14:paraId="5B39D96F"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Include list of rights to retrieve, correct or delete data.</w:t>
      </w:r>
    </w:p>
    <w:p w14:paraId="5B39D970"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 xml:space="preserve">All </w:t>
      </w:r>
      <w:r>
        <w:rPr>
          <w:rFonts w:asciiTheme="minorHAnsi" w:hAnsiTheme="minorHAnsi" w:cstheme="minorHAnsi"/>
          <w:color w:val="000000"/>
        </w:rPr>
        <w:t>Data Administrators should use the authorised Privacy Notice shown. This notice should be sent to all individuals at the first instance point any data is expected to be recorded.</w:t>
      </w:r>
    </w:p>
    <w:p w14:paraId="5B39D971"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Individuals with data held prior to the introduction of GDPR law, should be provided with the Privacy Notice at the first point of contact after 25</w:t>
      </w:r>
      <w:r>
        <w:rPr>
          <w:rFonts w:asciiTheme="minorHAnsi" w:hAnsiTheme="minorHAnsi" w:cstheme="minorHAnsi"/>
          <w:color w:val="000000"/>
          <w:vertAlign w:val="superscript"/>
        </w:rPr>
        <w:t>th</w:t>
      </w:r>
      <w:r>
        <w:rPr>
          <w:rFonts w:asciiTheme="minorHAnsi" w:hAnsiTheme="minorHAnsi" w:cstheme="minorHAnsi"/>
          <w:color w:val="000000"/>
        </w:rPr>
        <w:t xml:space="preserve"> May 2018 or within 6 months after this date. Returned and signed Privacy Notices should be forwarded to the Data Protection Officer, who will retain an </w:t>
      </w:r>
      <w:proofErr w:type="gramStart"/>
      <w:r>
        <w:rPr>
          <w:rFonts w:asciiTheme="minorHAnsi" w:hAnsiTheme="minorHAnsi" w:cstheme="minorHAnsi"/>
          <w:color w:val="000000"/>
        </w:rPr>
        <w:t>up to date</w:t>
      </w:r>
      <w:proofErr w:type="gramEnd"/>
      <w:r>
        <w:rPr>
          <w:rFonts w:asciiTheme="minorHAnsi" w:hAnsiTheme="minorHAnsi" w:cstheme="minorHAnsi"/>
          <w:color w:val="000000"/>
        </w:rPr>
        <w:t xml:space="preserve"> central record.</w:t>
      </w:r>
    </w:p>
    <w:p w14:paraId="5B39D972"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A maximum of 3 Privacy Notices can be sent to an individual. If after 3 attempts there has been no response, permission will be assumed to being refused and all personal data must be deleted.</w:t>
      </w:r>
    </w:p>
    <w:p w14:paraId="5B39D973" w14:textId="77777777" w:rsidR="004628BB" w:rsidRDefault="002C5754">
      <w:pPr>
        <w:pStyle w:val="NormalWeb"/>
        <w:shd w:val="clear" w:color="auto" w:fill="FFFFFF"/>
        <w:spacing w:before="0" w:beforeAutospacing="0" w:after="240" w:afterAutospacing="0"/>
        <w:rPr>
          <w:rFonts w:asciiTheme="minorHAnsi" w:hAnsiTheme="minorHAnsi" w:cstheme="minorHAnsi"/>
          <w:color w:val="000000"/>
        </w:rPr>
      </w:pPr>
      <w:r>
        <w:rPr>
          <w:rFonts w:asciiTheme="minorHAnsi" w:hAnsiTheme="minorHAnsi" w:cstheme="minorHAnsi"/>
          <w:color w:val="000000"/>
        </w:rPr>
        <w:t>Unless otherwise directed, personal data will be held for 3 years after permission is granted. Therefor Data Administrators should keep a record of when a fresh request for permission to hold data should be made.</w:t>
      </w:r>
    </w:p>
    <w:p w14:paraId="5B39D974" w14:textId="77777777" w:rsidR="004628BB" w:rsidRDefault="002C5754">
      <w:pPr>
        <w:pStyle w:val="NormalWeb"/>
        <w:shd w:val="clear" w:color="auto" w:fill="FFFFFF"/>
        <w:spacing w:before="0" w:beforeAutospacing="0" w:after="240" w:afterAutospacing="0"/>
        <w:rPr>
          <w:rFonts w:asciiTheme="minorHAnsi" w:hAnsiTheme="minorHAnsi" w:cstheme="minorHAnsi"/>
          <w:b/>
          <w:color w:val="000000"/>
        </w:rPr>
      </w:pPr>
      <w:r>
        <w:rPr>
          <w:rFonts w:asciiTheme="minorHAnsi" w:hAnsiTheme="minorHAnsi" w:cstheme="minorHAnsi"/>
          <w:b/>
          <w:color w:val="000000"/>
        </w:rPr>
        <w:t>Privacy Notice Form (Customers and Suppliers)</w:t>
      </w:r>
      <w:r>
        <w:rPr>
          <w:rFonts w:asciiTheme="minorHAnsi" w:hAnsiTheme="minorHAnsi" w:cstheme="minorHAnsi"/>
          <w:b/>
          <w:color w:val="000000"/>
        </w:rPr>
        <w:br/>
      </w:r>
      <w:r>
        <w:rPr>
          <w:rFonts w:asciiTheme="minorHAnsi" w:hAnsiTheme="minorHAnsi" w:cstheme="minorHAnsi"/>
        </w:rPr>
        <w:t xml:space="preserve">Here at Strive Training (London Limited) we take your privacy seriously and will only use your personal information to administer </w:t>
      </w:r>
      <w:r>
        <w:rPr>
          <w:rFonts w:asciiTheme="minorHAnsi" w:hAnsiTheme="minorHAnsi" w:cstheme="minorHAnsi"/>
          <w:color w:val="000000"/>
        </w:rPr>
        <w:t>your account and to provide the products and services you have requested from us</w:t>
      </w:r>
      <w:r>
        <w:rPr>
          <w:rFonts w:asciiTheme="minorHAnsi" w:hAnsiTheme="minorHAnsi" w:cstheme="minorHAnsi"/>
          <w:color w:val="000000"/>
        </w:rPr>
        <w:br/>
      </w:r>
      <w:r>
        <w:rPr>
          <w:rFonts w:asciiTheme="minorHAnsi" w:hAnsiTheme="minorHAnsi" w:cstheme="minorHAnsi"/>
          <w:color w:val="000000"/>
        </w:rPr>
        <w:br/>
        <w:t xml:space="preserve">For this purpose, your data will be securely stored, with access strictly limited to our sales, marketing, accounts, </w:t>
      </w:r>
      <w:proofErr w:type="gramStart"/>
      <w:r>
        <w:rPr>
          <w:rFonts w:asciiTheme="minorHAnsi" w:hAnsiTheme="minorHAnsi" w:cstheme="minorHAnsi"/>
          <w:color w:val="000000"/>
        </w:rPr>
        <w:t>design</w:t>
      </w:r>
      <w:proofErr w:type="gramEnd"/>
      <w:r>
        <w:rPr>
          <w:rFonts w:asciiTheme="minorHAnsi" w:hAnsiTheme="minorHAnsi" w:cstheme="minorHAnsi"/>
          <w:color w:val="000000"/>
        </w:rPr>
        <w:t xml:space="preserve"> and quality management departments.</w:t>
      </w:r>
    </w:p>
    <w:p w14:paraId="5B39D975"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Your data will be held for a period of up to 3 years beyond the last contact from you with us.</w:t>
      </w:r>
    </w:p>
    <w:p w14:paraId="5B39D976"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 xml:space="preserve">However, from time to time we would like to contact you with details about updates on new courses, </w:t>
      </w:r>
      <w:proofErr w:type="gramStart"/>
      <w:r>
        <w:rPr>
          <w:rFonts w:asciiTheme="minorHAnsi" w:hAnsiTheme="minorHAnsi" w:cstheme="minorHAnsi"/>
          <w:color w:val="000000"/>
        </w:rPr>
        <w:t>training</w:t>
      </w:r>
      <w:proofErr w:type="gramEnd"/>
      <w:r>
        <w:rPr>
          <w:rFonts w:asciiTheme="minorHAnsi" w:hAnsiTheme="minorHAnsi" w:cstheme="minorHAnsi"/>
          <w:color w:val="000000"/>
        </w:rPr>
        <w:t xml:space="preserve"> and </w:t>
      </w:r>
      <w:r>
        <w:rPr>
          <w:rFonts w:asciiTheme="minorHAnsi" w:hAnsiTheme="minorHAnsi" w:cstheme="minorHAnsi"/>
          <w:color w:val="FF0000"/>
        </w:rPr>
        <w:t>products</w:t>
      </w:r>
      <w:r>
        <w:rPr>
          <w:rFonts w:asciiTheme="minorHAnsi" w:hAnsiTheme="minorHAnsi" w:cstheme="minorHAnsi"/>
          <w:color w:val="000000"/>
        </w:rPr>
        <w:t xml:space="preserve"> we provide. If you consent to us contacting you for this purpose, please tick to say how you would like us to contact you:</w:t>
      </w:r>
    </w:p>
    <w:p w14:paraId="5B39D977"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lastRenderedPageBreak/>
        <w:t>Post</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t xml:space="preserve">   </w:t>
      </w:r>
    </w:p>
    <w:p w14:paraId="5B39D978"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t>Email</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t>    </w:t>
      </w:r>
    </w:p>
    <w:p w14:paraId="5B39D979"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t>Telephone</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t xml:space="preserve">    </w:t>
      </w:r>
    </w:p>
    <w:p w14:paraId="5B39D97A"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t>Text message</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t xml:space="preserve">   </w:t>
      </w:r>
    </w:p>
    <w:p w14:paraId="5B39D97B"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t>Phone call</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br/>
      </w:r>
    </w:p>
    <w:p w14:paraId="5B39D97C"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lang w:val="en"/>
        </w:rPr>
        <w:t xml:space="preserve">You have the right </w:t>
      </w:r>
      <w:proofErr w:type="gramStart"/>
      <w:r>
        <w:rPr>
          <w:rFonts w:asciiTheme="minorHAnsi" w:hAnsiTheme="minorHAnsi" w:cstheme="minorHAnsi"/>
          <w:color w:val="000000"/>
          <w:lang w:val="en"/>
        </w:rPr>
        <w:t>withdraw</w:t>
      </w:r>
      <w:proofErr w:type="gramEnd"/>
      <w:r>
        <w:rPr>
          <w:rFonts w:asciiTheme="minorHAnsi" w:hAnsiTheme="minorHAnsi" w:cstheme="minorHAnsi"/>
          <w:color w:val="000000"/>
          <w:lang w:val="en"/>
        </w:rPr>
        <w:t xml:space="preserve"> consent and you can </w:t>
      </w:r>
      <w:r>
        <w:rPr>
          <w:rFonts w:asciiTheme="minorHAnsi" w:hAnsiTheme="minorHAnsi" w:cstheme="minorHAnsi"/>
          <w:color w:val="000000"/>
          <w:lang w:val="en"/>
        </w:rPr>
        <w:t>refuse to consent without detriment.</w:t>
      </w:r>
    </w:p>
    <w:p w14:paraId="5B39D97D"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 xml:space="preserve">You have the right to request your data to be updated, corrected, and permanently deleted, or returned to you at any time. Requests of this nature should be made to John Stapleton (Data Protection Officer, email </w:t>
      </w:r>
      <w:hyperlink r:id="rId15" w:history="1">
        <w:r>
          <w:rPr>
            <w:rStyle w:val="Hyperlink"/>
            <w:rFonts w:asciiTheme="minorHAnsi" w:hAnsiTheme="minorHAnsi" w:cstheme="minorHAnsi"/>
          </w:rPr>
          <w:t>jstapleton@strivetraining.co.uk</w:t>
        </w:r>
      </w:hyperlink>
      <w:r>
        <w:rPr>
          <w:rFonts w:asciiTheme="minorHAnsi" w:hAnsiTheme="minorHAnsi" w:cstheme="minorHAnsi"/>
          <w:color w:val="000000"/>
        </w:rPr>
        <w:t xml:space="preserve"> </w:t>
      </w:r>
    </w:p>
    <w:p w14:paraId="5B39D97E"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If you consent to us retaining on your details for these purposes, please tick to confirm:</w:t>
      </w:r>
    </w:p>
    <w:p w14:paraId="5B39D97F"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Style w:val="Strong"/>
          <w:rFonts w:asciiTheme="minorHAnsi" w:hAnsiTheme="minorHAnsi" w:cstheme="minorHAnsi"/>
          <w:color w:val="000000"/>
        </w:rPr>
        <w:t>I agree</w:t>
      </w:r>
      <w:r>
        <w:rPr>
          <w:rFonts w:asciiTheme="minorHAnsi" w:hAnsiTheme="minorHAnsi" w:cstheme="minorHAnsi"/>
          <w:color w:val="000000"/>
        </w:rPr>
        <w:t> </w:t>
      </w:r>
      <w:r>
        <w:rPr>
          <w:rFonts w:ascii="Segoe UI Symbol" w:eastAsia="MS Gothic" w:hAnsi="Segoe UI Symbol" w:cs="Segoe UI Symbol"/>
          <w:color w:val="000000"/>
        </w:rPr>
        <w:t>☐</w:t>
      </w:r>
    </w:p>
    <w:p w14:paraId="5B39D980"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rPr>
      </w:pPr>
      <w:bookmarkStart w:id="2" w:name="OLE_LINK4"/>
      <w:bookmarkStart w:id="3" w:name="OLE_LINK3"/>
    </w:p>
    <w:p w14:paraId="5B39D981"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rPr>
      </w:pPr>
    </w:p>
    <w:p w14:paraId="5B39D982"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rPr>
      </w:pPr>
    </w:p>
    <w:p w14:paraId="5B39D983"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rPr>
      </w:pPr>
    </w:p>
    <w:p w14:paraId="5B39D984"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rPr>
      </w:pPr>
    </w:p>
    <w:p w14:paraId="5B39D985" w14:textId="77777777" w:rsidR="004628BB" w:rsidRDefault="002C5754">
      <w:pPr>
        <w:pStyle w:val="NormalWeb"/>
        <w:shd w:val="clear" w:color="auto" w:fill="FFFFFF"/>
        <w:spacing w:before="0" w:beforeAutospacing="0" w:after="240" w:afterAutospacing="0"/>
        <w:rPr>
          <w:rFonts w:asciiTheme="minorHAnsi" w:hAnsiTheme="minorHAnsi" w:cstheme="minorHAnsi"/>
          <w:b/>
          <w:color w:val="000000"/>
        </w:rPr>
      </w:pPr>
      <w:r>
        <w:rPr>
          <w:rFonts w:asciiTheme="minorHAnsi" w:hAnsiTheme="minorHAnsi" w:cstheme="minorHAnsi"/>
          <w:b/>
          <w:color w:val="000000"/>
        </w:rPr>
        <w:t>Privacy Notice Form (employees and freelancers).</w:t>
      </w:r>
      <w:bookmarkEnd w:id="2"/>
      <w:bookmarkEnd w:id="3"/>
      <w:r>
        <w:rPr>
          <w:rFonts w:asciiTheme="minorHAnsi" w:hAnsiTheme="minorHAnsi" w:cstheme="minorHAnsi"/>
          <w:b/>
          <w:color w:val="000000"/>
        </w:rPr>
        <w:br/>
      </w:r>
      <w:r>
        <w:rPr>
          <w:rFonts w:asciiTheme="minorHAnsi" w:hAnsiTheme="minorHAnsi" w:cstheme="minorHAnsi"/>
          <w:color w:val="000000"/>
        </w:rPr>
        <w:t xml:space="preserve">Here at </w:t>
      </w:r>
      <w:r>
        <w:rPr>
          <w:rFonts w:asciiTheme="minorHAnsi" w:hAnsiTheme="minorHAnsi" w:cstheme="minorHAnsi"/>
          <w:color w:val="000000" w:themeColor="text1"/>
        </w:rPr>
        <w:t xml:space="preserve">Strive Training Ltd </w:t>
      </w:r>
      <w:r>
        <w:rPr>
          <w:rFonts w:asciiTheme="minorHAnsi" w:hAnsiTheme="minorHAnsi" w:cstheme="minorHAnsi"/>
          <w:color w:val="000000"/>
        </w:rPr>
        <w:t>we take your privacy seriously and will only use your personal information f</w:t>
      </w:r>
      <w:r>
        <w:rPr>
          <w:rFonts w:asciiTheme="minorHAnsi" w:hAnsiTheme="minorHAnsi" w:cstheme="minorHAnsi"/>
        </w:rPr>
        <w:t xml:space="preserve">or legal, personnel, administrative, management and other legitimate purposes and </w:t>
      </w:r>
      <w:proofErr w:type="gramStart"/>
      <w:r>
        <w:rPr>
          <w:rFonts w:asciiTheme="minorHAnsi" w:hAnsiTheme="minorHAnsi" w:cstheme="minorHAnsi"/>
        </w:rPr>
        <w:t>in particular to</w:t>
      </w:r>
      <w:proofErr w:type="gramEnd"/>
      <w:r>
        <w:rPr>
          <w:rFonts w:asciiTheme="minorHAnsi" w:hAnsiTheme="minorHAnsi" w:cstheme="minorHAnsi"/>
        </w:rPr>
        <w:t xml:space="preserve"> the processing of any </w:t>
      </w:r>
      <w:r>
        <w:rPr>
          <w:rFonts w:asciiTheme="minorHAnsi" w:hAnsiTheme="minorHAnsi" w:cstheme="minorHAnsi"/>
        </w:rPr>
        <w:t>sensitive personal data (as defined in the GDPR Act 2018) relating to you. </w:t>
      </w:r>
    </w:p>
    <w:p w14:paraId="5B39D986"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For this purpose, your data will be securely stored, with access strictly limited to our management and accounts departments.</w:t>
      </w:r>
    </w:p>
    <w:p w14:paraId="5B39D987"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Your data will be held for a period of up to 6 years beyond the last contact from you with us.</w:t>
      </w:r>
    </w:p>
    <w:p w14:paraId="5B39D988"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rPr>
        <w:t>However, from time to time we would like to contact you with details of other freelance work if it becomes available</w:t>
      </w:r>
      <w:r>
        <w:rPr>
          <w:rFonts w:asciiTheme="minorHAnsi" w:hAnsiTheme="minorHAnsi" w:cstheme="minorHAnsi"/>
          <w:color w:val="C0504D" w:themeColor="accent2"/>
        </w:rPr>
        <w:t xml:space="preserve">. </w:t>
      </w:r>
      <w:r>
        <w:rPr>
          <w:rFonts w:asciiTheme="minorHAnsi" w:hAnsiTheme="minorHAnsi" w:cstheme="minorHAnsi"/>
          <w:color w:val="000000"/>
        </w:rPr>
        <w:t>If you consent to us contacting you for this purpose, please tick to say how you would like us to contact you:</w:t>
      </w:r>
    </w:p>
    <w:p w14:paraId="5B39D989"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t>Post</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t xml:space="preserve">    </w:t>
      </w:r>
    </w:p>
    <w:p w14:paraId="5B39D98A"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lastRenderedPageBreak/>
        <w:t>Email</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t>   </w:t>
      </w:r>
    </w:p>
    <w:p w14:paraId="5B39D98B"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t>Telephone</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t xml:space="preserve">    </w:t>
      </w:r>
    </w:p>
    <w:p w14:paraId="5B39D98C"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t>Text message</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t xml:space="preserve">   </w:t>
      </w:r>
    </w:p>
    <w:p w14:paraId="5B39D98D" w14:textId="77777777" w:rsidR="004628BB" w:rsidRDefault="002C5754">
      <w:pPr>
        <w:pStyle w:val="NormalWeb"/>
        <w:spacing w:before="0" w:beforeAutospacing="0" w:after="240" w:afterAutospacing="0"/>
        <w:rPr>
          <w:rFonts w:asciiTheme="minorHAnsi" w:hAnsiTheme="minorHAnsi" w:cstheme="minorHAnsi"/>
          <w:color w:val="000000"/>
        </w:rPr>
      </w:pPr>
      <w:r>
        <w:rPr>
          <w:rStyle w:val="Strong"/>
          <w:rFonts w:asciiTheme="minorHAnsi" w:hAnsiTheme="minorHAnsi" w:cstheme="minorHAnsi"/>
          <w:color w:val="000000"/>
        </w:rPr>
        <w:t>Phone calls</w:t>
      </w:r>
      <w:r>
        <w:rPr>
          <w:rFonts w:asciiTheme="minorHAnsi" w:hAnsiTheme="minorHAnsi" w:cstheme="minorHAnsi"/>
          <w:color w:val="000000"/>
        </w:rPr>
        <w:t> </w:t>
      </w:r>
      <w:r>
        <w:rPr>
          <w:rFonts w:ascii="Segoe UI Symbol" w:eastAsia="MS Gothic" w:hAnsi="Segoe UI Symbol" w:cs="Segoe UI Symbol"/>
          <w:color w:val="000000"/>
        </w:rPr>
        <w:t>☐</w:t>
      </w:r>
      <w:r>
        <w:rPr>
          <w:rFonts w:asciiTheme="minorHAnsi" w:hAnsiTheme="minorHAnsi" w:cstheme="minorHAnsi"/>
          <w:color w:val="000000"/>
        </w:rPr>
        <w:br/>
      </w:r>
    </w:p>
    <w:p w14:paraId="5B39D98E" w14:textId="77777777" w:rsidR="004628BB" w:rsidRDefault="002C5754">
      <w:pPr>
        <w:spacing w:before="100" w:beforeAutospacing="1" w:after="100" w:afterAutospacing="1"/>
        <w:rPr>
          <w:rFonts w:asciiTheme="minorHAnsi" w:hAnsiTheme="minorHAnsi" w:cstheme="minorHAnsi"/>
          <w:color w:val="000000"/>
          <w:lang w:val="en"/>
        </w:rPr>
      </w:pPr>
      <w:r>
        <w:rPr>
          <w:rFonts w:asciiTheme="minorHAnsi" w:hAnsiTheme="minorHAnsi" w:cstheme="minorHAnsi"/>
          <w:color w:val="000000"/>
          <w:lang w:val="en"/>
        </w:rPr>
        <w:t xml:space="preserve">You have the right </w:t>
      </w:r>
      <w:proofErr w:type="gramStart"/>
      <w:r>
        <w:rPr>
          <w:rFonts w:asciiTheme="minorHAnsi" w:hAnsiTheme="minorHAnsi" w:cstheme="minorHAnsi"/>
          <w:color w:val="000000"/>
          <w:lang w:val="en"/>
        </w:rPr>
        <w:t>withdraw</w:t>
      </w:r>
      <w:proofErr w:type="gramEnd"/>
      <w:r>
        <w:rPr>
          <w:rFonts w:asciiTheme="minorHAnsi" w:hAnsiTheme="minorHAnsi" w:cstheme="minorHAnsi"/>
          <w:color w:val="000000"/>
          <w:lang w:val="en"/>
        </w:rPr>
        <w:t xml:space="preserve"> consent and you can refuse to consent without detriment.</w:t>
      </w:r>
    </w:p>
    <w:p w14:paraId="5B39D98F"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 xml:space="preserve">You have the right to request your data to be updated, corrected, and permanently deleted. I or returned to you at any time. Requests of this nature should be made to Joel Marks (Data Protection Officer), email </w:t>
      </w:r>
      <w:hyperlink r:id="rId16" w:history="1">
        <w:r>
          <w:rPr>
            <w:rStyle w:val="Hyperlink"/>
            <w:rFonts w:asciiTheme="minorHAnsi" w:hAnsiTheme="minorHAnsi" w:cstheme="minorHAnsi"/>
          </w:rPr>
          <w:t>datacontroller@strivetraining.co.uk</w:t>
        </w:r>
      </w:hyperlink>
      <w:r>
        <w:rPr>
          <w:rFonts w:asciiTheme="minorHAnsi" w:hAnsiTheme="minorHAnsi" w:cstheme="minorHAnsi"/>
          <w:color w:val="000000"/>
        </w:rPr>
        <w:t>.</w:t>
      </w:r>
    </w:p>
    <w:p w14:paraId="5B39D990"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If you consent to us retaining on your details for these purposes, please tick to confirm:</w:t>
      </w:r>
    </w:p>
    <w:p w14:paraId="5B39D991"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Style w:val="Strong"/>
          <w:rFonts w:asciiTheme="minorHAnsi" w:hAnsiTheme="minorHAnsi" w:cstheme="minorHAnsi"/>
          <w:color w:val="000000"/>
        </w:rPr>
        <w:t>I agree</w:t>
      </w:r>
      <w:r>
        <w:rPr>
          <w:rFonts w:asciiTheme="minorHAnsi" w:hAnsiTheme="minorHAnsi" w:cstheme="minorHAnsi"/>
          <w:color w:val="000000"/>
        </w:rPr>
        <w:t> </w:t>
      </w:r>
      <w:r>
        <w:rPr>
          <w:rFonts w:ascii="Segoe UI Symbol" w:eastAsia="MS Gothic" w:hAnsi="Segoe UI Symbol" w:cs="Segoe UI Symbol"/>
          <w:color w:val="000000"/>
        </w:rPr>
        <w:t>☐</w:t>
      </w:r>
    </w:p>
    <w:p w14:paraId="5B39D992" w14:textId="77777777" w:rsidR="004628BB" w:rsidRDefault="004628BB">
      <w:pPr>
        <w:pStyle w:val="NormalWeb"/>
        <w:spacing w:before="0" w:beforeAutospacing="0" w:after="240" w:afterAutospacing="0"/>
        <w:rPr>
          <w:rFonts w:asciiTheme="minorHAnsi" w:hAnsiTheme="minorHAnsi" w:cstheme="minorHAnsi"/>
          <w:color w:val="000000"/>
        </w:rPr>
      </w:pPr>
    </w:p>
    <w:p w14:paraId="5B39D993"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rPr>
      </w:pPr>
    </w:p>
    <w:p w14:paraId="5B39D994"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rPr>
      </w:pPr>
    </w:p>
    <w:p w14:paraId="5B39D995"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rPr>
      </w:pPr>
    </w:p>
    <w:p w14:paraId="5B39D996" w14:textId="77777777" w:rsidR="004628BB" w:rsidRDefault="002C5754">
      <w:pPr>
        <w:pStyle w:val="NormalWeb"/>
        <w:shd w:val="clear" w:color="auto" w:fill="FFFFFF"/>
        <w:spacing w:before="0" w:beforeAutospacing="0" w:after="240" w:afterAutospacing="0"/>
        <w:rPr>
          <w:rFonts w:asciiTheme="minorHAnsi" w:hAnsiTheme="minorHAnsi" w:cstheme="minorHAnsi"/>
          <w:b/>
          <w:color w:val="000000"/>
        </w:rPr>
      </w:pPr>
      <w:r>
        <w:rPr>
          <w:rFonts w:asciiTheme="minorHAnsi" w:hAnsiTheme="minorHAnsi" w:cstheme="minorHAnsi"/>
          <w:b/>
          <w:color w:val="000000"/>
        </w:rPr>
        <w:t>Privacy Notice Form (students).</w:t>
      </w:r>
      <w:r>
        <w:rPr>
          <w:rFonts w:asciiTheme="minorHAnsi" w:hAnsiTheme="minorHAnsi" w:cstheme="minorHAnsi"/>
          <w:b/>
          <w:color w:val="000000"/>
        </w:rPr>
        <w:br/>
      </w:r>
      <w:r>
        <w:rPr>
          <w:rFonts w:asciiTheme="minorHAnsi" w:hAnsiTheme="minorHAnsi" w:cstheme="minorHAnsi"/>
          <w:color w:val="000000"/>
        </w:rPr>
        <w:t>The student Privacy Notice is included as part of the Student Learning Agreement form, which is completed by students prior to undertaking any learning. This form includes a weblink to the full Privacy Policy Terms and Conditions.</w:t>
      </w:r>
    </w:p>
    <w:p w14:paraId="5B39D997" w14:textId="77777777" w:rsidR="004628BB" w:rsidRDefault="002C5754">
      <w:pPr>
        <w:pStyle w:val="NormalWeb"/>
        <w:spacing w:before="0" w:beforeAutospacing="0" w:after="240" w:afterAutospacing="0"/>
        <w:rPr>
          <w:rFonts w:asciiTheme="minorHAnsi" w:hAnsiTheme="minorHAnsi" w:cstheme="minorHAnsi"/>
          <w:b/>
          <w:bCs/>
          <w:color w:val="000000"/>
        </w:rPr>
      </w:pPr>
      <w:r>
        <w:rPr>
          <w:rFonts w:asciiTheme="minorHAnsi" w:hAnsiTheme="minorHAnsi" w:cstheme="minorHAnsi"/>
          <w:b/>
          <w:bCs/>
          <w:color w:val="000000"/>
        </w:rPr>
        <w:t>Privacy Notice:</w:t>
      </w:r>
      <w:r>
        <w:rPr>
          <w:rFonts w:asciiTheme="minorHAnsi" w:hAnsiTheme="minorHAnsi" w:cstheme="minorHAnsi"/>
          <w:b/>
          <w:bCs/>
          <w:color w:val="000000"/>
        </w:rPr>
        <w:br/>
      </w:r>
      <w:r>
        <w:rPr>
          <w:rFonts w:asciiTheme="minorHAnsi" w:hAnsiTheme="minorHAnsi" w:cstheme="minorHAnsi"/>
          <w:color w:val="000000"/>
        </w:rPr>
        <w:t xml:space="preserve">Strive Training (London)Limited takes your privacy seriously and will only use your personal information to administer the services you have requested from us. For this purpose, your data will be securely stored, with access strictly limited to those within the business legitimately required to administer &amp; manage your service and external parties </w:t>
      </w:r>
      <w:proofErr w:type="gramStart"/>
      <w:r>
        <w:rPr>
          <w:rFonts w:asciiTheme="minorHAnsi" w:hAnsiTheme="minorHAnsi" w:cstheme="minorHAnsi"/>
          <w:color w:val="000000"/>
        </w:rPr>
        <w:t>in order to</w:t>
      </w:r>
      <w:proofErr w:type="gramEnd"/>
      <w:r>
        <w:rPr>
          <w:rFonts w:asciiTheme="minorHAnsi" w:hAnsiTheme="minorHAnsi" w:cstheme="minorHAnsi"/>
          <w:color w:val="000000"/>
        </w:rPr>
        <w:t xml:space="preserve"> ensure the safety and wellbeing of individuals or in the public interest or to meet regulatory or statutory requirements.</w:t>
      </w:r>
    </w:p>
    <w:p w14:paraId="5B39D998"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Your data will be held for a period of up to 6 years beyond the last contact from you with us.</w:t>
      </w:r>
    </w:p>
    <w:p w14:paraId="5B39D999"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lang w:val="en"/>
        </w:rPr>
        <w:t xml:space="preserve">You have the right </w:t>
      </w:r>
      <w:proofErr w:type="gramStart"/>
      <w:r>
        <w:rPr>
          <w:rFonts w:asciiTheme="minorHAnsi" w:hAnsiTheme="minorHAnsi" w:cstheme="minorHAnsi"/>
          <w:color w:val="000000"/>
          <w:lang w:val="en"/>
        </w:rPr>
        <w:t>withdraw</w:t>
      </w:r>
      <w:proofErr w:type="gramEnd"/>
      <w:r>
        <w:rPr>
          <w:rFonts w:asciiTheme="minorHAnsi" w:hAnsiTheme="minorHAnsi" w:cstheme="minorHAnsi"/>
          <w:color w:val="000000"/>
          <w:lang w:val="en"/>
        </w:rPr>
        <w:t xml:space="preserve"> consent and you can refuse to consent without detriment.</w:t>
      </w:r>
    </w:p>
    <w:p w14:paraId="5B39D99A"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lastRenderedPageBreak/>
        <w:t xml:space="preserve">You have the right to request your data to be updated, corrected, and permanently deleted, or returned to you at any time. Requests of this nature should be made via email to  </w:t>
      </w:r>
      <w:hyperlink r:id="rId17" w:history="1">
        <w:r>
          <w:rPr>
            <w:rStyle w:val="Hyperlink"/>
            <w:rFonts w:asciiTheme="minorHAnsi" w:hAnsiTheme="minorHAnsi" w:cstheme="minorHAnsi"/>
          </w:rPr>
          <w:t>datacontroller@strivetraining.co.uk</w:t>
        </w:r>
      </w:hyperlink>
      <w:r>
        <w:rPr>
          <w:rFonts w:asciiTheme="minorHAnsi" w:hAnsiTheme="minorHAnsi" w:cstheme="minorHAnsi"/>
          <w:color w:val="000000"/>
        </w:rPr>
        <w:t>.</w:t>
      </w:r>
    </w:p>
    <w:p w14:paraId="5B39D99B" w14:textId="77777777" w:rsidR="004628BB" w:rsidRDefault="002C5754">
      <w:pPr>
        <w:shd w:val="clear" w:color="auto" w:fill="FFFFFF"/>
        <w:ind w:left="30"/>
        <w:rPr>
          <w:rFonts w:asciiTheme="minorHAnsi" w:hAnsiTheme="minorHAnsi" w:cstheme="minorHAnsi"/>
        </w:rPr>
      </w:pPr>
      <w:r>
        <w:rPr>
          <w:rFonts w:asciiTheme="minorHAnsi" w:hAnsiTheme="minorHAnsi" w:cstheme="minorHAnsi"/>
        </w:rPr>
        <w:t xml:space="preserve">Please note that the right </w:t>
      </w:r>
      <w:r>
        <w:rPr>
          <w:rFonts w:asciiTheme="minorHAnsi" w:hAnsiTheme="minorHAnsi" w:cstheme="minorHAnsi"/>
          <w:lang w:val="en"/>
        </w:rPr>
        <w:t xml:space="preserve">to the erasure of personal data will only apply where there is no legitimate reason for Strive Training to continue to process the personal data.  There will usually be a requirement for Strive Training to keep a basic student record indefinitely for legal compliance. </w:t>
      </w:r>
      <w:r>
        <w:rPr>
          <w:rFonts w:asciiTheme="minorHAnsi" w:hAnsiTheme="minorHAnsi" w:cstheme="minorHAnsi"/>
          <w:lang w:val="en"/>
        </w:rPr>
        <w:br/>
      </w:r>
    </w:p>
    <w:p w14:paraId="5B39D99C" w14:textId="77777777" w:rsidR="004628BB" w:rsidRDefault="002C5754">
      <w:pPr>
        <w:pStyle w:val="NormalWeb"/>
        <w:spacing w:before="0" w:beforeAutospacing="0" w:after="240" w:afterAutospacing="0"/>
        <w:rPr>
          <w:rFonts w:asciiTheme="minorHAnsi" w:hAnsiTheme="minorHAnsi" w:cstheme="minorHAnsi"/>
          <w:color w:val="000000"/>
        </w:rPr>
      </w:pPr>
      <w:r>
        <w:rPr>
          <w:rFonts w:asciiTheme="minorHAnsi" w:hAnsiTheme="minorHAnsi" w:cstheme="minorHAnsi"/>
          <w:color w:val="000000"/>
        </w:rPr>
        <w:t xml:space="preserve">The full terms and conditions of our Privacy Statement can be viewed here: </w:t>
      </w:r>
      <w:proofErr w:type="gramStart"/>
      <w:r>
        <w:rPr>
          <w:rFonts w:asciiTheme="minorHAnsi" w:hAnsiTheme="minorHAnsi" w:cstheme="minorHAnsi"/>
          <w:color w:val="FF0000"/>
        </w:rPr>
        <w:t>Link</w:t>
      </w:r>
      <w:proofErr w:type="gramEnd"/>
    </w:p>
    <w:p w14:paraId="5B39D99D"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Style w:val="Strong"/>
          <w:rFonts w:asciiTheme="minorHAnsi" w:hAnsiTheme="minorHAnsi" w:cstheme="minorHAnsi"/>
          <w:color w:val="000000"/>
        </w:rPr>
        <w:t>Tick box to agree. I agree</w:t>
      </w:r>
      <w:r>
        <w:rPr>
          <w:rFonts w:asciiTheme="minorHAnsi" w:hAnsiTheme="minorHAnsi" w:cstheme="minorHAnsi"/>
          <w:color w:val="000000"/>
        </w:rPr>
        <w:t> </w:t>
      </w:r>
      <w:r>
        <w:rPr>
          <w:rFonts w:ascii="Segoe UI Symbol" w:eastAsia="MS Gothic" w:hAnsi="Segoe UI Symbol" w:cs="Segoe UI Symbol"/>
          <w:color w:val="000000"/>
        </w:rPr>
        <w:t>☐</w:t>
      </w:r>
    </w:p>
    <w:p w14:paraId="5B39D99E"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9F"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A0"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A1"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A2"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A3"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A4"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A5" w14:textId="77777777" w:rsidR="004628BB" w:rsidRDefault="002C5754">
      <w:pPr>
        <w:pStyle w:val="NormalWeb"/>
        <w:spacing w:before="0" w:beforeAutospacing="0" w:after="240" w:afterAutospacing="0"/>
        <w:rPr>
          <w:rFonts w:asciiTheme="minorHAnsi" w:eastAsia="MS Gothic" w:hAnsiTheme="minorHAnsi" w:cstheme="minorHAnsi"/>
          <w:b/>
          <w:color w:val="000000"/>
          <w:sz w:val="28"/>
          <w:szCs w:val="28"/>
        </w:rPr>
      </w:pPr>
      <w:r>
        <w:rPr>
          <w:rFonts w:asciiTheme="minorHAnsi" w:eastAsia="MS Gothic" w:hAnsiTheme="minorHAnsi" w:cstheme="minorHAnsi"/>
          <w:b/>
          <w:color w:val="000000"/>
          <w:sz w:val="28"/>
          <w:szCs w:val="28"/>
        </w:rPr>
        <w:t>5) Data Breaches</w:t>
      </w:r>
    </w:p>
    <w:p w14:paraId="5B39D9A6"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When the security of personal data is compromised, this is called a data breach. Data breaches are when </w:t>
      </w:r>
      <w:r>
        <w:rPr>
          <w:rFonts w:asciiTheme="minorHAnsi" w:eastAsia="MS Gothic" w:hAnsiTheme="minorHAnsi" w:cstheme="minorHAnsi"/>
          <w:color w:val="000000"/>
        </w:rPr>
        <w:t>personal information becomes available to anyone who does not have the individual’s permission to view or hold it.</w:t>
      </w:r>
    </w:p>
    <w:p w14:paraId="5B39D9A7" w14:textId="77777777" w:rsidR="004628BB" w:rsidRDefault="002C5754">
      <w:pPr>
        <w:pStyle w:val="NormalWeb"/>
        <w:spacing w:before="0" w:beforeAutospacing="0" w:after="240" w:afterAutospacing="0"/>
        <w:rPr>
          <w:rFonts w:asciiTheme="minorHAnsi" w:eastAsia="MS Gothic" w:hAnsiTheme="minorHAnsi" w:cstheme="minorHAnsi"/>
          <w:b/>
          <w:bCs/>
          <w:color w:val="000000"/>
        </w:rPr>
      </w:pPr>
      <w:r>
        <w:rPr>
          <w:rFonts w:asciiTheme="minorHAnsi" w:eastAsia="MS Gothic" w:hAnsiTheme="minorHAnsi" w:cstheme="minorHAnsi"/>
          <w:b/>
          <w:bCs/>
          <w:color w:val="000000"/>
        </w:rPr>
        <w:t>Data Breaches include:</w:t>
      </w:r>
    </w:p>
    <w:p w14:paraId="5B39D9A8" w14:textId="77777777" w:rsidR="004628BB" w:rsidRDefault="002C5754">
      <w:pPr>
        <w:pStyle w:val="NormalWeb"/>
        <w:numPr>
          <w:ilvl w:val="0"/>
          <w:numId w:val="10"/>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Emails containing personal information sent in error to 3</w:t>
      </w:r>
      <w:r>
        <w:rPr>
          <w:rFonts w:asciiTheme="minorHAnsi" w:eastAsia="MS Gothic" w:hAnsiTheme="minorHAnsi" w:cstheme="minorHAnsi"/>
          <w:color w:val="000000"/>
          <w:vertAlign w:val="superscript"/>
        </w:rPr>
        <w:t>rd</w:t>
      </w:r>
      <w:r>
        <w:rPr>
          <w:rFonts w:asciiTheme="minorHAnsi" w:eastAsia="MS Gothic" w:hAnsiTheme="minorHAnsi" w:cstheme="minorHAnsi"/>
          <w:color w:val="000000"/>
        </w:rPr>
        <w:t xml:space="preserve"> </w:t>
      </w:r>
      <w:proofErr w:type="gramStart"/>
      <w:r>
        <w:rPr>
          <w:rFonts w:asciiTheme="minorHAnsi" w:eastAsia="MS Gothic" w:hAnsiTheme="minorHAnsi" w:cstheme="minorHAnsi"/>
          <w:color w:val="000000"/>
        </w:rPr>
        <w:t>parties</w:t>
      </w:r>
      <w:proofErr w:type="gramEnd"/>
    </w:p>
    <w:p w14:paraId="5B39D9A9" w14:textId="77777777" w:rsidR="004628BB" w:rsidRDefault="002C5754">
      <w:pPr>
        <w:pStyle w:val="NormalWeb"/>
        <w:numPr>
          <w:ilvl w:val="0"/>
          <w:numId w:val="10"/>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Personal information stored without </w:t>
      </w:r>
      <w:r>
        <w:rPr>
          <w:rFonts w:asciiTheme="minorHAnsi" w:eastAsia="MS Gothic" w:hAnsiTheme="minorHAnsi" w:cstheme="minorHAnsi"/>
          <w:color w:val="000000"/>
        </w:rPr>
        <w:t>security measures preventing unauthorised access.</w:t>
      </w:r>
    </w:p>
    <w:p w14:paraId="5B39D9AA" w14:textId="77777777" w:rsidR="004628BB" w:rsidRDefault="002C5754">
      <w:pPr>
        <w:pStyle w:val="NormalWeb"/>
        <w:numPr>
          <w:ilvl w:val="0"/>
          <w:numId w:val="10"/>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Personal information accessed as a result of a cyber-attack or </w:t>
      </w:r>
      <w:proofErr w:type="gramStart"/>
      <w:r>
        <w:rPr>
          <w:rFonts w:asciiTheme="minorHAnsi" w:eastAsia="MS Gothic" w:hAnsiTheme="minorHAnsi" w:cstheme="minorHAnsi"/>
          <w:color w:val="000000"/>
        </w:rPr>
        <w:t>virus</w:t>
      </w:r>
      <w:proofErr w:type="gramEnd"/>
    </w:p>
    <w:p w14:paraId="5B39D9AB" w14:textId="77777777" w:rsidR="004628BB" w:rsidRDefault="002C5754">
      <w:pPr>
        <w:pStyle w:val="NormalWeb"/>
        <w:numPr>
          <w:ilvl w:val="0"/>
          <w:numId w:val="10"/>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Personal information being stored on servers or hosted in countries not in compliance with GDPR </w:t>
      </w:r>
      <w:proofErr w:type="gramStart"/>
      <w:r>
        <w:rPr>
          <w:rFonts w:asciiTheme="minorHAnsi" w:eastAsia="MS Gothic" w:hAnsiTheme="minorHAnsi" w:cstheme="minorHAnsi"/>
          <w:color w:val="000000"/>
        </w:rPr>
        <w:t>law</w:t>
      </w:r>
      <w:proofErr w:type="gramEnd"/>
    </w:p>
    <w:p w14:paraId="5B39D9AC" w14:textId="77777777" w:rsidR="004628BB" w:rsidRDefault="002C5754">
      <w:pPr>
        <w:pStyle w:val="NormalWeb"/>
        <w:numPr>
          <w:ilvl w:val="0"/>
          <w:numId w:val="10"/>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Personal information held on devices not under company ownership or security </w:t>
      </w:r>
      <w:proofErr w:type="gramStart"/>
      <w:r>
        <w:rPr>
          <w:rFonts w:asciiTheme="minorHAnsi" w:eastAsia="MS Gothic" w:hAnsiTheme="minorHAnsi" w:cstheme="minorHAnsi"/>
          <w:color w:val="000000"/>
        </w:rPr>
        <w:t>management</w:t>
      </w:r>
      <w:proofErr w:type="gramEnd"/>
    </w:p>
    <w:p w14:paraId="5B39D9AD" w14:textId="77777777" w:rsidR="004628BB" w:rsidRDefault="002C5754">
      <w:pPr>
        <w:pStyle w:val="NormalWeb"/>
        <w:numPr>
          <w:ilvl w:val="0"/>
          <w:numId w:val="10"/>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Personal information lost or stolen from laptops, briefcases, etc.</w:t>
      </w:r>
    </w:p>
    <w:p w14:paraId="5B39D9AE" w14:textId="77777777" w:rsidR="004628BB" w:rsidRDefault="002C5754">
      <w:pPr>
        <w:pStyle w:val="NormalWeb"/>
        <w:numPr>
          <w:ilvl w:val="0"/>
          <w:numId w:val="10"/>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lastRenderedPageBreak/>
        <w:t>Unauthorised access to data by service providers, such IT support, CRM providers</w:t>
      </w:r>
    </w:p>
    <w:p w14:paraId="5B39D9AF" w14:textId="77777777" w:rsidR="004628BB" w:rsidRDefault="004628BB">
      <w:pPr>
        <w:pStyle w:val="NormalWeb"/>
        <w:spacing w:before="0" w:beforeAutospacing="0" w:after="240" w:afterAutospacing="0"/>
        <w:rPr>
          <w:rFonts w:asciiTheme="minorHAnsi" w:eastAsia="MS Gothic" w:hAnsiTheme="minorHAnsi" w:cstheme="minorHAnsi"/>
          <w:color w:val="000000"/>
        </w:rPr>
      </w:pPr>
    </w:p>
    <w:p w14:paraId="5B39D9B0"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1"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2"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3"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4"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5"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6"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7"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8"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9"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A"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BB" w14:textId="77777777" w:rsidR="004628BB" w:rsidRDefault="002C5754">
      <w:pPr>
        <w:pStyle w:val="NormalWeb"/>
        <w:spacing w:before="0" w:beforeAutospacing="0" w:after="240" w:afterAutospacing="0"/>
        <w:rPr>
          <w:rFonts w:asciiTheme="minorHAnsi" w:eastAsia="MS Gothic" w:hAnsiTheme="minorHAnsi" w:cstheme="minorHAnsi"/>
          <w:b/>
          <w:color w:val="000000"/>
          <w:sz w:val="28"/>
          <w:szCs w:val="28"/>
        </w:rPr>
      </w:pPr>
      <w:r>
        <w:rPr>
          <w:rFonts w:asciiTheme="minorHAnsi" w:eastAsia="MS Gothic" w:hAnsiTheme="minorHAnsi" w:cstheme="minorHAnsi"/>
          <w:b/>
          <w:color w:val="000000"/>
          <w:sz w:val="28"/>
          <w:szCs w:val="28"/>
        </w:rPr>
        <w:t>6) Data Breach Management Procedure</w:t>
      </w:r>
    </w:p>
    <w:p w14:paraId="5B39D9BC"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All employees, freelance workers and service providers must report data breaches immediately. Data breaches should be reported to the Data Administrator or the Data Protection Offer.</w:t>
      </w:r>
    </w:p>
    <w:p w14:paraId="5B39D9BD"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Anyone suspecting a breach should:</w:t>
      </w:r>
    </w:p>
    <w:p w14:paraId="5B39D9BE" w14:textId="77777777" w:rsidR="004628BB" w:rsidRDefault="002C5754">
      <w:pPr>
        <w:pStyle w:val="NormalWeb"/>
        <w:numPr>
          <w:ilvl w:val="0"/>
          <w:numId w:val="11"/>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Prevent further risk of </w:t>
      </w:r>
      <w:proofErr w:type="gramStart"/>
      <w:r>
        <w:rPr>
          <w:rFonts w:asciiTheme="minorHAnsi" w:eastAsia="MS Gothic" w:hAnsiTheme="minorHAnsi" w:cstheme="minorHAnsi"/>
          <w:color w:val="000000"/>
        </w:rPr>
        <w:t>breach</w:t>
      </w:r>
      <w:proofErr w:type="gramEnd"/>
    </w:p>
    <w:p w14:paraId="5B39D9BF" w14:textId="77777777" w:rsidR="004628BB" w:rsidRDefault="002C5754">
      <w:pPr>
        <w:pStyle w:val="NormalWeb"/>
        <w:numPr>
          <w:ilvl w:val="0"/>
          <w:numId w:val="11"/>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Record the </w:t>
      </w:r>
      <w:r>
        <w:rPr>
          <w:rFonts w:asciiTheme="minorHAnsi" w:eastAsia="MS Gothic" w:hAnsiTheme="minorHAnsi" w:cstheme="minorHAnsi"/>
          <w:color w:val="000000"/>
        </w:rPr>
        <w:t xml:space="preserve">nature and possible cause of the </w:t>
      </w:r>
      <w:proofErr w:type="gramStart"/>
      <w:r>
        <w:rPr>
          <w:rFonts w:asciiTheme="minorHAnsi" w:eastAsia="MS Gothic" w:hAnsiTheme="minorHAnsi" w:cstheme="minorHAnsi"/>
          <w:color w:val="000000"/>
        </w:rPr>
        <w:t>breach</w:t>
      </w:r>
      <w:proofErr w:type="gramEnd"/>
    </w:p>
    <w:p w14:paraId="5B39D9C0" w14:textId="77777777" w:rsidR="004628BB" w:rsidRDefault="002C5754">
      <w:pPr>
        <w:pStyle w:val="NormalWeb"/>
        <w:numPr>
          <w:ilvl w:val="0"/>
          <w:numId w:val="11"/>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Identify who is affected by the breach and who may have gained access to data.</w:t>
      </w:r>
    </w:p>
    <w:p w14:paraId="5B39D9C1"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Data Administrators must report breaches to the Data Protection Officer </w:t>
      </w:r>
      <w:r>
        <w:rPr>
          <w:rFonts w:asciiTheme="minorHAnsi" w:eastAsia="MS Gothic" w:hAnsiTheme="minorHAnsi" w:cstheme="minorHAnsi"/>
          <w:b/>
          <w:bCs/>
          <w:color w:val="000000"/>
        </w:rPr>
        <w:t>immediately</w:t>
      </w:r>
      <w:r>
        <w:rPr>
          <w:rFonts w:asciiTheme="minorHAnsi" w:eastAsia="MS Gothic" w:hAnsiTheme="minorHAnsi" w:cstheme="minorHAnsi"/>
          <w:color w:val="000000"/>
        </w:rPr>
        <w:t xml:space="preserve"> and without any delay.</w:t>
      </w:r>
    </w:p>
    <w:p w14:paraId="5B39D9C2" w14:textId="77777777" w:rsidR="004628BB" w:rsidRDefault="002C5754">
      <w:pPr>
        <w:pStyle w:val="NormalWeb"/>
        <w:spacing w:before="0" w:beforeAutospacing="0" w:after="240" w:afterAutospacing="0"/>
        <w:rPr>
          <w:rFonts w:asciiTheme="minorHAnsi" w:eastAsia="MS Gothic" w:hAnsiTheme="minorHAnsi" w:cstheme="minorHAnsi"/>
          <w:b/>
          <w:color w:val="000000"/>
        </w:rPr>
      </w:pPr>
      <w:r>
        <w:rPr>
          <w:rFonts w:asciiTheme="minorHAnsi" w:eastAsia="MS Gothic" w:hAnsiTheme="minorHAnsi" w:cstheme="minorHAnsi"/>
          <w:b/>
          <w:color w:val="000000"/>
        </w:rPr>
        <w:t>The Data Protection Officer will:</w:t>
      </w:r>
    </w:p>
    <w:p w14:paraId="5B39D9C3" w14:textId="77777777" w:rsidR="004628BB" w:rsidRDefault="002C5754">
      <w:pPr>
        <w:pStyle w:val="NormalWeb"/>
        <w:numPr>
          <w:ilvl w:val="0"/>
          <w:numId w:val="12"/>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Make all attempts to reduce the impact of the </w:t>
      </w:r>
      <w:proofErr w:type="gramStart"/>
      <w:r>
        <w:rPr>
          <w:rFonts w:asciiTheme="minorHAnsi" w:eastAsia="MS Gothic" w:hAnsiTheme="minorHAnsi" w:cstheme="minorHAnsi"/>
          <w:color w:val="000000"/>
        </w:rPr>
        <w:t>breach</w:t>
      </w:r>
      <w:proofErr w:type="gramEnd"/>
    </w:p>
    <w:p w14:paraId="5B39D9C4" w14:textId="77777777" w:rsidR="004628BB" w:rsidRDefault="002C5754">
      <w:pPr>
        <w:pStyle w:val="NormalWeb"/>
        <w:numPr>
          <w:ilvl w:val="0"/>
          <w:numId w:val="12"/>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Ensure contact is made with those affected by the </w:t>
      </w:r>
      <w:proofErr w:type="gramStart"/>
      <w:r>
        <w:rPr>
          <w:rFonts w:asciiTheme="minorHAnsi" w:eastAsia="MS Gothic" w:hAnsiTheme="minorHAnsi" w:cstheme="minorHAnsi"/>
          <w:color w:val="000000"/>
        </w:rPr>
        <w:t>breach</w:t>
      </w:r>
      <w:proofErr w:type="gramEnd"/>
    </w:p>
    <w:p w14:paraId="5B39D9C5" w14:textId="77777777" w:rsidR="004628BB" w:rsidRDefault="002C5754">
      <w:pPr>
        <w:pStyle w:val="NormalWeb"/>
        <w:numPr>
          <w:ilvl w:val="0"/>
          <w:numId w:val="12"/>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lastRenderedPageBreak/>
        <w:t>Record all breach details to the Data Protection Breach Log</w:t>
      </w:r>
    </w:p>
    <w:p w14:paraId="5B39D9C6" w14:textId="77777777" w:rsidR="004628BB" w:rsidRDefault="002C5754">
      <w:pPr>
        <w:pStyle w:val="NormalWeb"/>
        <w:numPr>
          <w:ilvl w:val="0"/>
          <w:numId w:val="12"/>
        </w:numPr>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Contact Information Commissioners Office to formally report the </w:t>
      </w:r>
      <w:proofErr w:type="gramStart"/>
      <w:r>
        <w:rPr>
          <w:rFonts w:asciiTheme="minorHAnsi" w:eastAsia="MS Gothic" w:hAnsiTheme="minorHAnsi" w:cstheme="minorHAnsi"/>
          <w:color w:val="000000"/>
        </w:rPr>
        <w:t>breach</w:t>
      </w:r>
      <w:proofErr w:type="gramEnd"/>
    </w:p>
    <w:p w14:paraId="5B39D9C7" w14:textId="77777777" w:rsidR="004628BB" w:rsidRDefault="002C5754">
      <w:pPr>
        <w:pStyle w:val="NormalWeb"/>
        <w:spacing w:before="0" w:beforeAutospacing="0" w:after="240" w:afterAutospacing="0"/>
        <w:rPr>
          <w:rFonts w:asciiTheme="minorHAnsi" w:eastAsia="MS Gothic" w:hAnsiTheme="minorHAnsi" w:cstheme="minorHAnsi"/>
          <w:b/>
          <w:bCs/>
          <w:color w:val="000000"/>
        </w:rPr>
      </w:pPr>
      <w:r>
        <w:rPr>
          <w:rFonts w:asciiTheme="minorHAnsi" w:eastAsia="MS Gothic" w:hAnsiTheme="minorHAnsi" w:cstheme="minorHAnsi"/>
          <w:b/>
          <w:bCs/>
          <w:color w:val="000000"/>
        </w:rPr>
        <w:t xml:space="preserve">All </w:t>
      </w:r>
      <w:r>
        <w:rPr>
          <w:rFonts w:asciiTheme="minorHAnsi" w:eastAsia="MS Gothic" w:hAnsiTheme="minorHAnsi" w:cstheme="minorHAnsi"/>
          <w:b/>
          <w:bCs/>
          <w:color w:val="000000"/>
        </w:rPr>
        <w:t>data breach processes must be completed within 72 hours of initial notification.</w:t>
      </w:r>
    </w:p>
    <w:p w14:paraId="5B39D9D0" w14:textId="2BD70022"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The Data Protection Officer’s contact details will be known on Privacy Statements and company web site, </w:t>
      </w:r>
      <w:proofErr w:type="gramStart"/>
      <w:r>
        <w:rPr>
          <w:rFonts w:asciiTheme="minorHAnsi" w:eastAsia="MS Gothic" w:hAnsiTheme="minorHAnsi" w:cstheme="minorHAnsi"/>
          <w:color w:val="000000"/>
        </w:rPr>
        <w:t>in order for</w:t>
      </w:r>
      <w:proofErr w:type="gramEnd"/>
      <w:r>
        <w:rPr>
          <w:rFonts w:asciiTheme="minorHAnsi" w:eastAsia="MS Gothic" w:hAnsiTheme="minorHAnsi" w:cstheme="minorHAnsi"/>
          <w:color w:val="000000"/>
        </w:rPr>
        <w:t xml:space="preserve"> individuals to report suspected breaches without delay.</w:t>
      </w:r>
    </w:p>
    <w:p w14:paraId="5B39D9D1" w14:textId="77777777" w:rsidR="004628BB" w:rsidRDefault="002C5754">
      <w:pPr>
        <w:pStyle w:val="NormalWeb"/>
        <w:spacing w:before="0" w:beforeAutospacing="0" w:after="240" w:afterAutospacing="0"/>
        <w:rPr>
          <w:rFonts w:asciiTheme="minorHAnsi" w:eastAsia="MS Gothic" w:hAnsiTheme="minorHAnsi" w:cstheme="minorHAnsi"/>
          <w:b/>
          <w:color w:val="000000"/>
          <w:sz w:val="28"/>
          <w:szCs w:val="28"/>
        </w:rPr>
      </w:pPr>
      <w:r>
        <w:rPr>
          <w:rFonts w:asciiTheme="minorHAnsi" w:eastAsia="MS Gothic" w:hAnsiTheme="minorHAnsi" w:cstheme="minorHAnsi"/>
          <w:b/>
          <w:color w:val="000000"/>
          <w:sz w:val="28"/>
          <w:szCs w:val="28"/>
        </w:rPr>
        <w:t>7) Data Deletion Procedure</w:t>
      </w:r>
    </w:p>
    <w:p w14:paraId="5B39D9D2"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Data will be deleted in accordance with the mandatory retention </w:t>
      </w:r>
      <w:proofErr w:type="gramStart"/>
      <w:r>
        <w:rPr>
          <w:rFonts w:asciiTheme="minorHAnsi" w:eastAsia="MS Gothic" w:hAnsiTheme="minorHAnsi" w:cstheme="minorHAnsi"/>
          <w:color w:val="000000"/>
        </w:rPr>
        <w:t>periods</w:t>
      </w:r>
      <w:proofErr w:type="gramEnd"/>
    </w:p>
    <w:p w14:paraId="5B39D9D3"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Data Administrators should be aware of the retention period for the data they hold.</w:t>
      </w:r>
    </w:p>
    <w:p w14:paraId="5B39D9D4"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Data should be deleted on ½ yearly schedule, ahead of the next mandatory retention date.</w:t>
      </w:r>
    </w:p>
    <w:p w14:paraId="5B39D9D5"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There may be business circumstances when it is beneficial to both the individual and the company to hold data for a further period. In these cases, a fresh Privacy Notice must be sent to the individual ahead of the retention period ending.</w:t>
      </w:r>
    </w:p>
    <w:p w14:paraId="5B39D9D6"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Printed data should be shredded, using a cross shedder. If large quantities are needed to be shred, data should be deleted on site. </w:t>
      </w:r>
    </w:p>
    <w:p w14:paraId="5B39D9D7"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Computer files should be deleted, using the Secure Trash option if </w:t>
      </w:r>
      <w:proofErr w:type="gramStart"/>
      <w:r>
        <w:rPr>
          <w:rFonts w:asciiTheme="minorHAnsi" w:eastAsia="MS Gothic" w:hAnsiTheme="minorHAnsi" w:cstheme="minorHAnsi"/>
          <w:color w:val="000000"/>
        </w:rPr>
        <w:t>available</w:t>
      </w:r>
      <w:proofErr w:type="gramEnd"/>
    </w:p>
    <w:p w14:paraId="5B39D9D8"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Back up versions, include those held remotely or disk, must also be deleted.</w:t>
      </w:r>
    </w:p>
    <w:p w14:paraId="5B39D9D9"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Archive versions should be deleted.</w:t>
      </w:r>
    </w:p>
    <w:p w14:paraId="5B39D9DA"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Data deletions should be recorded. </w:t>
      </w:r>
    </w:p>
    <w:p w14:paraId="5B39D9DB"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Individuals have the right to have their personal data deleted; this is called the Right to Erasure or Right to be forgotten. Requests to have data deleted by individuals should be made to the Data Protection Officer. </w:t>
      </w:r>
    </w:p>
    <w:p w14:paraId="5B39D9DC"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Individual requests must verify formally using the Data Request Form. Requests for deletion by individuals must be completed within 30 days.</w:t>
      </w:r>
    </w:p>
    <w:p w14:paraId="5B39D9DD" w14:textId="77777777" w:rsidR="004628BB" w:rsidRDefault="002C5754">
      <w:pPr>
        <w:shd w:val="clear" w:color="auto" w:fill="FFFFFF"/>
        <w:ind w:left="30"/>
        <w:rPr>
          <w:rFonts w:asciiTheme="minorHAnsi" w:hAnsiTheme="minorHAnsi" w:cstheme="minorHAnsi"/>
        </w:rPr>
      </w:pPr>
      <w:r>
        <w:rPr>
          <w:rFonts w:asciiTheme="minorHAnsi" w:hAnsiTheme="minorHAnsi" w:cstheme="minorHAnsi"/>
        </w:rPr>
        <w:t xml:space="preserve">Please note that the right </w:t>
      </w:r>
      <w:r>
        <w:rPr>
          <w:rFonts w:asciiTheme="minorHAnsi" w:hAnsiTheme="minorHAnsi" w:cstheme="minorHAnsi"/>
          <w:lang w:val="en"/>
        </w:rPr>
        <w:t xml:space="preserve">to the erasure of personal data will only apply where there is no legitimate reason for Strive Training to continue to process the personal data.  There will usually be a requirement for Strive Training to keep a basic student record indefinitely for legal compliance. </w:t>
      </w:r>
    </w:p>
    <w:p w14:paraId="5B39D9DE" w14:textId="77777777" w:rsidR="004628BB" w:rsidRDefault="004628BB">
      <w:pPr>
        <w:pStyle w:val="NormalWeb"/>
        <w:spacing w:before="0" w:beforeAutospacing="0" w:after="240" w:afterAutospacing="0"/>
        <w:rPr>
          <w:rFonts w:asciiTheme="minorHAnsi" w:eastAsia="MS Gothic" w:hAnsiTheme="minorHAnsi" w:cstheme="minorHAnsi"/>
          <w:color w:val="000000"/>
        </w:rPr>
      </w:pPr>
    </w:p>
    <w:p w14:paraId="5B39D9DF" w14:textId="77777777" w:rsidR="004628BB" w:rsidRDefault="004628BB">
      <w:pPr>
        <w:pStyle w:val="NormalWeb"/>
        <w:spacing w:before="0" w:beforeAutospacing="0" w:after="240" w:afterAutospacing="0"/>
        <w:rPr>
          <w:rFonts w:asciiTheme="minorHAnsi" w:eastAsia="MS Gothic" w:hAnsiTheme="minorHAnsi" w:cstheme="minorHAnsi"/>
          <w:color w:val="000000"/>
        </w:rPr>
      </w:pPr>
    </w:p>
    <w:p w14:paraId="5B39D9E0" w14:textId="77777777" w:rsidR="004628BB" w:rsidRDefault="004628BB">
      <w:pPr>
        <w:pStyle w:val="NormalWeb"/>
        <w:spacing w:before="0" w:beforeAutospacing="0" w:after="240" w:afterAutospacing="0"/>
        <w:rPr>
          <w:rFonts w:asciiTheme="minorHAnsi" w:eastAsia="MS Gothic" w:hAnsiTheme="minorHAnsi" w:cstheme="minorHAnsi"/>
          <w:color w:val="000000"/>
        </w:rPr>
      </w:pPr>
    </w:p>
    <w:p w14:paraId="5B39D9E1"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E2"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E3"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E4" w14:textId="77777777" w:rsidR="004628BB" w:rsidRDefault="004628BB">
      <w:pPr>
        <w:pStyle w:val="NormalWeb"/>
        <w:spacing w:before="0" w:beforeAutospacing="0" w:after="240" w:afterAutospacing="0"/>
        <w:rPr>
          <w:rFonts w:asciiTheme="minorHAnsi" w:eastAsia="MS Gothic" w:hAnsiTheme="minorHAnsi" w:cstheme="minorHAnsi"/>
          <w:b/>
          <w:color w:val="000000"/>
        </w:rPr>
      </w:pPr>
    </w:p>
    <w:p w14:paraId="5B39D9E5" w14:textId="77777777" w:rsidR="004628BB" w:rsidRDefault="002C5754">
      <w:pPr>
        <w:pStyle w:val="NormalWeb"/>
        <w:spacing w:before="0" w:beforeAutospacing="0" w:after="240" w:afterAutospacing="0"/>
        <w:rPr>
          <w:rFonts w:asciiTheme="minorHAnsi" w:eastAsia="MS Gothic" w:hAnsiTheme="minorHAnsi" w:cstheme="minorHAnsi"/>
          <w:b/>
          <w:color w:val="000000"/>
          <w:sz w:val="28"/>
          <w:szCs w:val="28"/>
        </w:rPr>
      </w:pPr>
      <w:r>
        <w:rPr>
          <w:rFonts w:asciiTheme="minorHAnsi" w:eastAsia="MS Gothic" w:hAnsiTheme="minorHAnsi" w:cstheme="minorHAnsi"/>
          <w:b/>
          <w:color w:val="000000"/>
          <w:sz w:val="28"/>
          <w:szCs w:val="28"/>
        </w:rPr>
        <w:t>8) Data Return and Correction Procedure</w:t>
      </w:r>
    </w:p>
    <w:p w14:paraId="5B39D9E6"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Individuals have the right to have their data returned to them or for it to be updated and corrected. </w:t>
      </w:r>
    </w:p>
    <w:p w14:paraId="5B39D9E7"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Individual requests to have data returned or corrected by should be made to the data Protection Officer. </w:t>
      </w:r>
    </w:p>
    <w:p w14:paraId="5B39D9E8"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Individual requests must verify formally using the Data Request Form.</w:t>
      </w:r>
    </w:p>
    <w:p w14:paraId="5B39D9E9"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Requests for deletion by individuals must be completed within 30 days.</w:t>
      </w:r>
    </w:p>
    <w:p w14:paraId="5B39D9EA" w14:textId="77777777" w:rsidR="004628BB" w:rsidRDefault="004628BB">
      <w:pPr>
        <w:pStyle w:val="NormalWeb"/>
        <w:spacing w:before="0" w:beforeAutospacing="0" w:after="240" w:afterAutospacing="0"/>
        <w:rPr>
          <w:rFonts w:asciiTheme="minorHAnsi" w:eastAsia="MS Gothic" w:hAnsiTheme="minorHAnsi" w:cstheme="minorHAnsi"/>
          <w:b/>
          <w:color w:val="000000"/>
          <w:sz w:val="28"/>
          <w:szCs w:val="28"/>
        </w:rPr>
      </w:pPr>
    </w:p>
    <w:p w14:paraId="5B39D9EB" w14:textId="77777777" w:rsidR="004628BB" w:rsidRDefault="002C5754">
      <w:pPr>
        <w:pStyle w:val="NormalWeb"/>
        <w:spacing w:before="0" w:beforeAutospacing="0" w:after="240" w:afterAutospacing="0"/>
        <w:rPr>
          <w:rFonts w:asciiTheme="minorHAnsi" w:eastAsia="MS Gothic" w:hAnsiTheme="minorHAnsi" w:cstheme="minorHAnsi"/>
          <w:b/>
          <w:color w:val="000000"/>
          <w:sz w:val="28"/>
          <w:szCs w:val="28"/>
        </w:rPr>
      </w:pPr>
      <w:r>
        <w:rPr>
          <w:rFonts w:asciiTheme="minorHAnsi" w:eastAsia="MS Gothic" w:hAnsiTheme="minorHAnsi" w:cstheme="minorHAnsi"/>
          <w:b/>
          <w:color w:val="000000"/>
          <w:sz w:val="28"/>
          <w:szCs w:val="28"/>
        </w:rPr>
        <w:t>9) Data Retention Periods</w:t>
      </w:r>
    </w:p>
    <w:p w14:paraId="5B39D9EC"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 xml:space="preserve">In the simplest terms, non-sensitive employee, </w:t>
      </w:r>
      <w:proofErr w:type="gramStart"/>
      <w:r>
        <w:rPr>
          <w:rFonts w:asciiTheme="minorHAnsi" w:eastAsia="MS Gothic" w:hAnsiTheme="minorHAnsi" w:cstheme="minorHAnsi"/>
          <w:color w:val="000000"/>
        </w:rPr>
        <w:t>freelancer</w:t>
      </w:r>
      <w:proofErr w:type="gramEnd"/>
      <w:r>
        <w:rPr>
          <w:rFonts w:asciiTheme="minorHAnsi" w:eastAsia="MS Gothic" w:hAnsiTheme="minorHAnsi" w:cstheme="minorHAnsi"/>
          <w:color w:val="000000"/>
        </w:rPr>
        <w:t xml:space="preserve"> and customer data can normally be </w:t>
      </w:r>
      <w:r>
        <w:rPr>
          <w:rFonts w:asciiTheme="minorHAnsi" w:eastAsia="MS Gothic" w:hAnsiTheme="minorHAnsi" w:cstheme="minorHAnsi"/>
          <w:color w:val="000000"/>
        </w:rPr>
        <w:t>retained up to 3 years beyond the individual authorising data to be held.</w:t>
      </w:r>
    </w:p>
    <w:p w14:paraId="5B39D9ED"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Accounts data, including transaction documents must be retained for 7 years, to comply with Tax regulations.</w:t>
      </w:r>
    </w:p>
    <w:p w14:paraId="5B39D9EE"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Student data includes financial data and must be retained for 7 years. Some funding conduits, for example the Education Skills Funding Agency (ESFA) and Greater London Authority (GLA), contractually require a longer period of student data retention.</w:t>
      </w:r>
    </w:p>
    <w:p w14:paraId="5B39D9EF"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Bank account details give rise to a serious data risk. As such, bank account details for employees and freelancers should be deleted 3 months after they have stopped working for the company.</w:t>
      </w:r>
    </w:p>
    <w:p w14:paraId="5B39D9F0"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There is however other legislation in place which overrides GDPR law, where statutory (UK Law) retention periods apply. These periods are detailed below.</w:t>
      </w:r>
    </w:p>
    <w:p w14:paraId="5B39D9F1" w14:textId="77777777" w:rsidR="004628BB" w:rsidRDefault="002C5754">
      <w:pPr>
        <w:spacing w:before="100" w:beforeAutospacing="1" w:after="100" w:afterAutospacing="1"/>
        <w:rPr>
          <w:rFonts w:asciiTheme="minorHAnsi" w:hAnsiTheme="minorHAnsi" w:cstheme="minorHAnsi"/>
          <w:b/>
          <w:sz w:val="28"/>
          <w:szCs w:val="28"/>
          <w:lang w:val="en"/>
        </w:rPr>
      </w:pPr>
      <w:r>
        <w:rPr>
          <w:rFonts w:asciiTheme="minorHAnsi" w:hAnsiTheme="minorHAnsi" w:cstheme="minorHAnsi"/>
          <w:b/>
          <w:sz w:val="28"/>
          <w:szCs w:val="28"/>
          <w:lang w:val="en"/>
        </w:rPr>
        <w:t>A) Statutory Retention Periods</w:t>
      </w:r>
    </w:p>
    <w:p w14:paraId="5B39D9F2"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bCs/>
          <w:lang w:val="en"/>
        </w:rPr>
        <w:t>Accident books, accident records/reports</w:t>
      </w:r>
      <w:r>
        <w:rPr>
          <w:rFonts w:asciiTheme="minorHAnsi" w:hAnsiTheme="minorHAnsi" w:cstheme="minorHAnsi"/>
          <w:lang w:val="en"/>
        </w:rPr>
        <w:br/>
      </w:r>
      <w:r>
        <w:rPr>
          <w:rFonts w:asciiTheme="minorHAnsi" w:hAnsiTheme="minorHAnsi" w:cstheme="minorHAnsi"/>
          <w:b/>
          <w:bCs/>
          <w:lang w:val="en"/>
        </w:rPr>
        <w:br/>
        <w:t>Statutory retention period:</w:t>
      </w:r>
      <w:r>
        <w:rPr>
          <w:rFonts w:asciiTheme="minorHAnsi" w:hAnsiTheme="minorHAnsi" w:cstheme="minorHAnsi"/>
          <w:lang w:val="en"/>
        </w:rPr>
        <w:t xml:space="preserve"> 3 years from the date of the last entry (or, if the accident involves a child/ young adult, then until that person reaches the age of 21). (See below for accidents involving chemicals or asbestos). </w:t>
      </w:r>
      <w:r>
        <w:rPr>
          <w:rFonts w:asciiTheme="minorHAnsi" w:hAnsiTheme="minorHAnsi" w:cstheme="minorHAnsi"/>
          <w:b/>
          <w:bCs/>
          <w:lang w:val="en"/>
        </w:rPr>
        <w:br/>
      </w:r>
      <w:r>
        <w:rPr>
          <w:rFonts w:asciiTheme="minorHAnsi" w:hAnsiTheme="minorHAnsi" w:cstheme="minorHAnsi"/>
          <w:b/>
          <w:bCs/>
          <w:lang w:val="en"/>
        </w:rPr>
        <w:lastRenderedPageBreak/>
        <w:t>Statutory authority:</w:t>
      </w:r>
      <w:r>
        <w:rPr>
          <w:rFonts w:asciiTheme="minorHAnsi" w:hAnsiTheme="minorHAnsi" w:cstheme="minorHAnsi"/>
          <w:lang w:val="en"/>
        </w:rPr>
        <w:t xml:space="preserve"> The Reporting of Injuries, Diseases and Dangerous Occurrences Regulations 1995 (RIDDOR) (SI 1995/3163) as amended, and Limitation Act 1980. Special rules apply concerning incidents involving hazardous substances (see below).</w:t>
      </w:r>
    </w:p>
    <w:p w14:paraId="5B39D9F3" w14:textId="77777777" w:rsidR="004628BB" w:rsidRDefault="004628BB">
      <w:pPr>
        <w:spacing w:before="100" w:beforeAutospacing="1" w:after="100" w:afterAutospacing="1"/>
        <w:rPr>
          <w:rFonts w:asciiTheme="minorHAnsi" w:hAnsiTheme="minorHAnsi" w:cstheme="minorHAnsi"/>
          <w:b/>
          <w:bCs/>
          <w:lang w:val="en"/>
        </w:rPr>
      </w:pPr>
    </w:p>
    <w:p w14:paraId="5B39D9F4"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bCs/>
          <w:lang w:val="en"/>
        </w:rPr>
        <w:t>Accounting records:</w:t>
      </w:r>
      <w:r>
        <w:rPr>
          <w:rFonts w:asciiTheme="minorHAnsi" w:hAnsiTheme="minorHAnsi" w:cstheme="minorHAnsi"/>
          <w:b/>
          <w:bCs/>
          <w:lang w:val="en"/>
        </w:rPr>
        <w:br/>
      </w:r>
      <w:r>
        <w:rPr>
          <w:rFonts w:asciiTheme="minorHAnsi" w:hAnsiTheme="minorHAnsi" w:cstheme="minorHAnsi"/>
          <w:lang w:val="en"/>
        </w:rPr>
        <w:br/>
      </w:r>
      <w:r>
        <w:rPr>
          <w:rFonts w:asciiTheme="minorHAnsi" w:hAnsiTheme="minorHAnsi" w:cstheme="minorHAnsi"/>
          <w:b/>
          <w:bCs/>
          <w:lang w:val="en"/>
        </w:rPr>
        <w:t>Statutory retention period:</w:t>
      </w:r>
      <w:r>
        <w:rPr>
          <w:rFonts w:asciiTheme="minorHAnsi" w:hAnsiTheme="minorHAnsi" w:cstheme="minorHAnsi"/>
          <w:lang w:val="en"/>
        </w:rPr>
        <w:t xml:space="preserve"> 3 years for private companies, 6 years for public limited companies. </w:t>
      </w:r>
      <w:r>
        <w:rPr>
          <w:rFonts w:asciiTheme="minorHAnsi" w:hAnsiTheme="minorHAnsi" w:cstheme="minorHAnsi"/>
          <w:lang w:val="en"/>
        </w:rPr>
        <w:br/>
      </w:r>
      <w:r>
        <w:rPr>
          <w:rFonts w:asciiTheme="minorHAnsi" w:hAnsiTheme="minorHAnsi" w:cstheme="minorHAnsi"/>
          <w:b/>
          <w:bCs/>
          <w:lang w:val="en"/>
        </w:rPr>
        <w:br/>
        <w:t>Statutory authority:</w:t>
      </w:r>
      <w:r>
        <w:rPr>
          <w:rFonts w:asciiTheme="minorHAnsi" w:hAnsiTheme="minorHAnsi" w:cstheme="minorHAnsi"/>
          <w:lang w:val="en"/>
        </w:rPr>
        <w:t xml:space="preserve"> Section 221 of the Companies Act 1985 as modified by the Companies Acts 1989 and 2006.</w:t>
      </w:r>
    </w:p>
    <w:p w14:paraId="5B39D9F5" w14:textId="77777777" w:rsidR="004628BB" w:rsidRDefault="002C5754">
      <w:pPr>
        <w:spacing w:before="100" w:beforeAutospacing="1" w:after="100" w:afterAutospacing="1"/>
        <w:rPr>
          <w:rFonts w:asciiTheme="minorHAnsi" w:hAnsiTheme="minorHAnsi" w:cstheme="minorHAnsi"/>
          <w:b/>
          <w:bCs/>
          <w:lang w:val="en"/>
        </w:rPr>
      </w:pPr>
      <w:r>
        <w:rPr>
          <w:rFonts w:asciiTheme="minorHAnsi" w:hAnsiTheme="minorHAnsi" w:cstheme="minorHAnsi"/>
          <w:b/>
          <w:bCs/>
          <w:lang w:val="en"/>
        </w:rPr>
        <w:t>Income tax and NI returns, income tax records and correspondence with HMRC</w:t>
      </w:r>
      <w:r>
        <w:rPr>
          <w:rFonts w:asciiTheme="minorHAnsi" w:hAnsiTheme="minorHAnsi" w:cstheme="minorHAnsi"/>
          <w:lang w:val="en"/>
        </w:rPr>
        <w:br/>
      </w:r>
      <w:r>
        <w:rPr>
          <w:rFonts w:asciiTheme="minorHAnsi" w:hAnsiTheme="minorHAnsi" w:cstheme="minorHAnsi"/>
          <w:b/>
          <w:bCs/>
          <w:lang w:val="en"/>
        </w:rPr>
        <w:br/>
        <w:t>Statutory retention period:</w:t>
      </w:r>
      <w:r>
        <w:rPr>
          <w:rFonts w:asciiTheme="minorHAnsi" w:hAnsiTheme="minorHAnsi" w:cstheme="minorHAnsi"/>
          <w:lang w:val="en"/>
        </w:rPr>
        <w:t xml:space="preserve"> not less than 3 years after the end of the financial year to which they relate. </w:t>
      </w:r>
      <w:r>
        <w:rPr>
          <w:rFonts w:asciiTheme="minorHAnsi" w:hAnsiTheme="minorHAnsi" w:cstheme="minorHAnsi"/>
          <w:lang w:val="en"/>
        </w:rPr>
        <w:br/>
      </w:r>
      <w:r>
        <w:rPr>
          <w:rFonts w:asciiTheme="minorHAnsi" w:hAnsiTheme="minorHAnsi" w:cstheme="minorHAnsi"/>
          <w:b/>
          <w:bCs/>
          <w:lang w:val="en"/>
        </w:rPr>
        <w:t>Statutory authority:</w:t>
      </w:r>
      <w:r>
        <w:rPr>
          <w:rFonts w:asciiTheme="minorHAnsi" w:hAnsiTheme="minorHAnsi" w:cstheme="minorHAnsi"/>
          <w:lang w:val="en"/>
        </w:rPr>
        <w:t xml:space="preserve"> The Income Tax (Employments) Regulations 1993 (SI 1993/744) as amended, for example by The Income Tax (Employments) (Amendment No. 6) Regulations 1996 (SI 1996/2631).</w:t>
      </w:r>
    </w:p>
    <w:p w14:paraId="5B39D9F6"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lang w:val="en"/>
        </w:rPr>
        <w:t>Medical records (general):</w:t>
      </w:r>
      <w:r>
        <w:rPr>
          <w:rFonts w:asciiTheme="minorHAnsi" w:hAnsiTheme="minorHAnsi" w:cstheme="minorHAnsi"/>
          <w:lang w:val="en"/>
        </w:rPr>
        <w:t xml:space="preserve"> 12 years.</w:t>
      </w:r>
    </w:p>
    <w:p w14:paraId="5B39D9F7" w14:textId="77777777" w:rsidR="004628BB" w:rsidRDefault="002C5754">
      <w:pPr>
        <w:spacing w:before="100" w:beforeAutospacing="1" w:after="100" w:afterAutospacing="1"/>
        <w:rPr>
          <w:rFonts w:asciiTheme="minorHAnsi" w:hAnsiTheme="minorHAnsi" w:cstheme="minorHAnsi"/>
          <w:i/>
          <w:lang w:val="en"/>
        </w:rPr>
      </w:pPr>
      <w:r>
        <w:rPr>
          <w:rFonts w:asciiTheme="minorHAnsi" w:hAnsiTheme="minorHAnsi" w:cstheme="minorHAnsi"/>
          <w:b/>
          <w:lang w:val="en"/>
        </w:rPr>
        <w:t>Medical records (specific):</w:t>
      </w:r>
      <w:r>
        <w:rPr>
          <w:rFonts w:asciiTheme="minorHAnsi" w:hAnsiTheme="minorHAnsi" w:cstheme="minorHAnsi"/>
          <w:lang w:val="en"/>
        </w:rPr>
        <w:br/>
      </w:r>
      <w:r>
        <w:rPr>
          <w:rFonts w:asciiTheme="minorHAnsi" w:hAnsiTheme="minorHAnsi" w:cstheme="minorHAnsi"/>
          <w:b/>
          <w:bCs/>
          <w:i/>
          <w:lang w:val="en"/>
        </w:rPr>
        <w:br/>
        <w:t>Medical records and details of biological tests under the Control of Lead at Work Regulations</w:t>
      </w:r>
      <w:r>
        <w:rPr>
          <w:rFonts w:asciiTheme="minorHAnsi" w:hAnsiTheme="minorHAnsi" w:cstheme="minorHAnsi"/>
          <w:i/>
          <w:lang w:val="en"/>
        </w:rPr>
        <w:br/>
      </w:r>
      <w:r>
        <w:rPr>
          <w:rFonts w:asciiTheme="minorHAnsi" w:hAnsiTheme="minorHAnsi" w:cstheme="minorHAnsi"/>
          <w:b/>
          <w:bCs/>
          <w:i/>
          <w:lang w:val="en"/>
        </w:rPr>
        <w:br/>
        <w:t>Statutory retention period:</w:t>
      </w:r>
      <w:r>
        <w:rPr>
          <w:rFonts w:asciiTheme="minorHAnsi" w:hAnsiTheme="minorHAnsi" w:cstheme="minorHAnsi"/>
          <w:i/>
          <w:lang w:val="en"/>
        </w:rPr>
        <w:t xml:space="preserve"> 40 years from the date of the last entry. </w:t>
      </w:r>
      <w:r>
        <w:rPr>
          <w:rFonts w:asciiTheme="minorHAnsi" w:hAnsiTheme="minorHAnsi" w:cstheme="minorHAnsi"/>
          <w:i/>
          <w:lang w:val="en"/>
        </w:rPr>
        <w:br/>
      </w:r>
      <w:r>
        <w:rPr>
          <w:rFonts w:asciiTheme="minorHAnsi" w:hAnsiTheme="minorHAnsi" w:cstheme="minorHAnsi"/>
          <w:b/>
          <w:bCs/>
          <w:i/>
          <w:lang w:val="en"/>
        </w:rPr>
        <w:t>Statutory authority:</w:t>
      </w:r>
      <w:r>
        <w:rPr>
          <w:rFonts w:asciiTheme="minorHAnsi" w:hAnsiTheme="minorHAnsi" w:cstheme="minorHAnsi"/>
          <w:i/>
          <w:lang w:val="en"/>
        </w:rPr>
        <w:t xml:space="preserve"> The Control of Lead at Work Regulations 1998 (SI 1998/543) as amended by the Control of Lead at Work Regulations 2002 (SI 2002/2676).</w:t>
      </w:r>
    </w:p>
    <w:p w14:paraId="5B39D9F8" w14:textId="77777777" w:rsidR="004628BB" w:rsidRDefault="002C5754">
      <w:pPr>
        <w:spacing w:before="100" w:beforeAutospacing="1" w:after="100" w:afterAutospacing="1"/>
        <w:rPr>
          <w:rFonts w:asciiTheme="minorHAnsi" w:hAnsiTheme="minorHAnsi" w:cstheme="minorHAnsi"/>
          <w:i/>
          <w:lang w:val="en"/>
        </w:rPr>
      </w:pPr>
      <w:r>
        <w:rPr>
          <w:rFonts w:asciiTheme="minorHAnsi" w:hAnsiTheme="minorHAnsi" w:cstheme="minorHAnsi"/>
          <w:b/>
          <w:bCs/>
          <w:i/>
          <w:lang w:val="en"/>
        </w:rPr>
        <w:t>Medical records as specified by the Control of Substances Hazardous to Health Regulations (COSHH)</w:t>
      </w:r>
      <w:r>
        <w:rPr>
          <w:rFonts w:asciiTheme="minorHAnsi" w:hAnsiTheme="minorHAnsi" w:cstheme="minorHAnsi"/>
          <w:i/>
          <w:lang w:val="en"/>
        </w:rPr>
        <w:br/>
      </w:r>
      <w:r>
        <w:rPr>
          <w:rFonts w:asciiTheme="minorHAnsi" w:hAnsiTheme="minorHAnsi" w:cstheme="minorHAnsi"/>
          <w:b/>
          <w:bCs/>
          <w:i/>
          <w:lang w:val="en"/>
        </w:rPr>
        <w:br/>
        <w:t>Statutory retention period:</w:t>
      </w:r>
      <w:r>
        <w:rPr>
          <w:rFonts w:asciiTheme="minorHAnsi" w:hAnsiTheme="minorHAnsi" w:cstheme="minorHAnsi"/>
          <w:i/>
          <w:lang w:val="en"/>
        </w:rPr>
        <w:t xml:space="preserve"> 40 years from the date of the last entry. </w:t>
      </w:r>
      <w:r>
        <w:rPr>
          <w:rFonts w:asciiTheme="minorHAnsi" w:hAnsiTheme="minorHAnsi" w:cstheme="minorHAnsi"/>
          <w:i/>
          <w:lang w:val="en"/>
        </w:rPr>
        <w:br/>
      </w:r>
      <w:r>
        <w:rPr>
          <w:rFonts w:asciiTheme="minorHAnsi" w:hAnsiTheme="minorHAnsi" w:cstheme="minorHAnsi"/>
          <w:b/>
          <w:bCs/>
          <w:i/>
          <w:lang w:val="en"/>
        </w:rPr>
        <w:t>Statutory authority:</w:t>
      </w:r>
      <w:r>
        <w:rPr>
          <w:rFonts w:asciiTheme="minorHAnsi" w:hAnsiTheme="minorHAnsi" w:cstheme="minorHAnsi"/>
          <w:i/>
          <w:lang w:val="en"/>
        </w:rPr>
        <w:t xml:space="preserve"> The Control of Substances Hazardous to Health Regulations 1999 and 2002 (COSHH) (SIs 1999/437 and 2002/2677).</w:t>
      </w:r>
    </w:p>
    <w:p w14:paraId="5B39D9F9" w14:textId="77777777" w:rsidR="004628BB" w:rsidRDefault="002C5754">
      <w:pPr>
        <w:spacing w:before="100" w:beforeAutospacing="1" w:after="100" w:afterAutospacing="1"/>
        <w:rPr>
          <w:rFonts w:asciiTheme="minorHAnsi" w:hAnsiTheme="minorHAnsi" w:cstheme="minorHAnsi"/>
          <w:i/>
          <w:lang w:val="en"/>
        </w:rPr>
      </w:pPr>
      <w:r>
        <w:rPr>
          <w:rFonts w:asciiTheme="minorHAnsi" w:hAnsiTheme="minorHAnsi" w:cstheme="minorHAnsi"/>
          <w:b/>
          <w:bCs/>
          <w:i/>
          <w:lang w:val="en"/>
        </w:rPr>
        <w:t>Medical records under the Control of Asbestos at Work Regulations: medical records containing details of employees exposed to asbestos and medical examination certificates</w:t>
      </w:r>
      <w:r>
        <w:rPr>
          <w:rFonts w:asciiTheme="minorHAnsi" w:hAnsiTheme="minorHAnsi" w:cstheme="minorHAnsi"/>
          <w:i/>
          <w:lang w:val="en"/>
        </w:rPr>
        <w:br/>
      </w:r>
      <w:r>
        <w:rPr>
          <w:rFonts w:asciiTheme="minorHAnsi" w:hAnsiTheme="minorHAnsi" w:cstheme="minorHAnsi"/>
          <w:b/>
          <w:bCs/>
          <w:i/>
          <w:lang w:val="en"/>
        </w:rPr>
        <w:br/>
        <w:t>Statutory retention period:</w:t>
      </w:r>
      <w:r>
        <w:rPr>
          <w:rFonts w:asciiTheme="minorHAnsi" w:hAnsiTheme="minorHAnsi" w:cstheme="minorHAnsi"/>
          <w:i/>
          <w:lang w:val="en"/>
        </w:rPr>
        <w:t xml:space="preserve"> (medical records) 40 years from the date of the last entry; (medical examination certificates) 4 years from the date of issue. </w:t>
      </w:r>
      <w:r>
        <w:rPr>
          <w:rFonts w:asciiTheme="minorHAnsi" w:hAnsiTheme="minorHAnsi" w:cstheme="minorHAnsi"/>
          <w:i/>
          <w:lang w:val="en"/>
        </w:rPr>
        <w:br/>
      </w:r>
      <w:r>
        <w:rPr>
          <w:rFonts w:asciiTheme="minorHAnsi" w:hAnsiTheme="minorHAnsi" w:cstheme="minorHAnsi"/>
          <w:b/>
          <w:bCs/>
          <w:i/>
          <w:lang w:val="en"/>
        </w:rPr>
        <w:t>Statutory authority:</w:t>
      </w:r>
      <w:r>
        <w:rPr>
          <w:rFonts w:asciiTheme="minorHAnsi" w:hAnsiTheme="minorHAnsi" w:cstheme="minorHAnsi"/>
          <w:i/>
          <w:lang w:val="en"/>
        </w:rPr>
        <w:t xml:space="preserve"> The Control of Asbestos at Work Regulations 2002 (SI 2002/ </w:t>
      </w:r>
      <w:r>
        <w:rPr>
          <w:rFonts w:asciiTheme="minorHAnsi" w:hAnsiTheme="minorHAnsi" w:cstheme="minorHAnsi"/>
          <w:i/>
          <w:lang w:val="en"/>
        </w:rPr>
        <w:lastRenderedPageBreak/>
        <w:t>2675). Also see the Control of Asbestos Regulations 2006 (SI 2006/2739) and the Control of Asbestos Regulations 2012 (SI 2012/632)</w:t>
      </w:r>
    </w:p>
    <w:p w14:paraId="5B39D9FA" w14:textId="77777777" w:rsidR="004628BB" w:rsidRDefault="004628BB">
      <w:pPr>
        <w:spacing w:before="100" w:beforeAutospacing="1" w:after="100" w:afterAutospacing="1"/>
        <w:rPr>
          <w:rFonts w:asciiTheme="minorHAnsi" w:hAnsiTheme="minorHAnsi" w:cstheme="minorHAnsi"/>
          <w:b/>
          <w:bCs/>
          <w:i/>
          <w:lang w:val="en"/>
        </w:rPr>
      </w:pPr>
    </w:p>
    <w:p w14:paraId="5B39D9FB" w14:textId="77777777" w:rsidR="004628BB" w:rsidRDefault="002C5754">
      <w:pPr>
        <w:spacing w:before="100" w:beforeAutospacing="1" w:after="100" w:afterAutospacing="1"/>
        <w:rPr>
          <w:rFonts w:asciiTheme="minorHAnsi" w:hAnsiTheme="minorHAnsi" w:cstheme="minorHAnsi"/>
          <w:i/>
          <w:lang w:val="en"/>
        </w:rPr>
      </w:pPr>
      <w:r>
        <w:rPr>
          <w:rFonts w:asciiTheme="minorHAnsi" w:hAnsiTheme="minorHAnsi" w:cstheme="minorHAnsi"/>
          <w:b/>
          <w:bCs/>
          <w:i/>
          <w:lang w:val="en"/>
        </w:rPr>
        <w:t xml:space="preserve">Medical records under the </w:t>
      </w:r>
      <w:proofErr w:type="spellStart"/>
      <w:r>
        <w:rPr>
          <w:rFonts w:asciiTheme="minorHAnsi" w:hAnsiTheme="minorHAnsi" w:cstheme="minorHAnsi"/>
          <w:b/>
          <w:bCs/>
          <w:i/>
          <w:lang w:val="en"/>
        </w:rPr>
        <w:t>Ionising</w:t>
      </w:r>
      <w:proofErr w:type="spellEnd"/>
      <w:r>
        <w:rPr>
          <w:rFonts w:asciiTheme="minorHAnsi" w:hAnsiTheme="minorHAnsi" w:cstheme="minorHAnsi"/>
          <w:b/>
          <w:bCs/>
          <w:i/>
          <w:lang w:val="en"/>
        </w:rPr>
        <w:t xml:space="preserve"> Radiations Regulations 1999</w:t>
      </w:r>
      <w:r>
        <w:rPr>
          <w:rFonts w:asciiTheme="minorHAnsi" w:hAnsiTheme="minorHAnsi" w:cstheme="minorHAnsi"/>
          <w:i/>
          <w:lang w:val="en"/>
        </w:rPr>
        <w:br/>
      </w:r>
      <w:r>
        <w:rPr>
          <w:rFonts w:asciiTheme="minorHAnsi" w:hAnsiTheme="minorHAnsi" w:cstheme="minorHAnsi"/>
          <w:b/>
          <w:bCs/>
          <w:i/>
          <w:lang w:val="en"/>
        </w:rPr>
        <w:br/>
        <w:t>Statutory retention period:</w:t>
      </w:r>
      <w:r>
        <w:rPr>
          <w:rFonts w:asciiTheme="minorHAnsi" w:hAnsiTheme="minorHAnsi" w:cstheme="minorHAnsi"/>
          <w:i/>
          <w:lang w:val="en"/>
        </w:rPr>
        <w:t xml:space="preserve"> until the person reaches 75 years of age, but in any event for at least 50 years. </w:t>
      </w:r>
      <w:r>
        <w:rPr>
          <w:rFonts w:asciiTheme="minorHAnsi" w:hAnsiTheme="minorHAnsi" w:cstheme="minorHAnsi"/>
          <w:i/>
          <w:lang w:val="en"/>
        </w:rPr>
        <w:br/>
      </w:r>
      <w:r>
        <w:rPr>
          <w:rFonts w:asciiTheme="minorHAnsi" w:hAnsiTheme="minorHAnsi" w:cstheme="minorHAnsi"/>
          <w:b/>
          <w:bCs/>
          <w:i/>
          <w:lang w:val="en"/>
        </w:rPr>
        <w:t>Statutory authority:</w:t>
      </w:r>
      <w:r>
        <w:rPr>
          <w:rFonts w:asciiTheme="minorHAnsi" w:hAnsiTheme="minorHAnsi" w:cstheme="minorHAnsi"/>
          <w:i/>
          <w:lang w:val="en"/>
        </w:rPr>
        <w:t xml:space="preserve"> The </w:t>
      </w:r>
      <w:proofErr w:type="spellStart"/>
      <w:r>
        <w:rPr>
          <w:rFonts w:asciiTheme="minorHAnsi" w:hAnsiTheme="minorHAnsi" w:cstheme="minorHAnsi"/>
          <w:i/>
          <w:lang w:val="en"/>
        </w:rPr>
        <w:t>Ionising</w:t>
      </w:r>
      <w:proofErr w:type="spellEnd"/>
      <w:r>
        <w:rPr>
          <w:rFonts w:asciiTheme="minorHAnsi" w:hAnsiTheme="minorHAnsi" w:cstheme="minorHAnsi"/>
          <w:i/>
          <w:lang w:val="en"/>
        </w:rPr>
        <w:t xml:space="preserve"> Radiations Regulations 1999 (SI 1999/3232).</w:t>
      </w:r>
    </w:p>
    <w:p w14:paraId="5B39D9FC"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bCs/>
          <w:lang w:val="en"/>
        </w:rPr>
        <w:t>National minimum wage records</w:t>
      </w:r>
      <w:r>
        <w:rPr>
          <w:rFonts w:asciiTheme="minorHAnsi" w:hAnsiTheme="minorHAnsi" w:cstheme="minorHAnsi"/>
          <w:lang w:val="en"/>
        </w:rPr>
        <w:br/>
      </w:r>
      <w:r>
        <w:rPr>
          <w:rFonts w:asciiTheme="minorHAnsi" w:hAnsiTheme="minorHAnsi" w:cstheme="minorHAnsi"/>
          <w:b/>
          <w:bCs/>
          <w:lang w:val="en"/>
        </w:rPr>
        <w:br/>
        <w:t>Statutory retention period:</w:t>
      </w:r>
      <w:r>
        <w:rPr>
          <w:rFonts w:asciiTheme="minorHAnsi" w:hAnsiTheme="minorHAnsi" w:cstheme="minorHAnsi"/>
          <w:lang w:val="en"/>
        </w:rPr>
        <w:t xml:space="preserve"> 3 years after the end of the pay reference period following the one that the records cover. </w:t>
      </w:r>
      <w:r>
        <w:rPr>
          <w:rFonts w:asciiTheme="minorHAnsi" w:hAnsiTheme="minorHAnsi" w:cstheme="minorHAnsi"/>
          <w:lang w:val="en"/>
        </w:rPr>
        <w:br/>
      </w:r>
      <w:r>
        <w:rPr>
          <w:rFonts w:asciiTheme="minorHAnsi" w:hAnsiTheme="minorHAnsi" w:cstheme="minorHAnsi"/>
          <w:b/>
          <w:bCs/>
          <w:lang w:val="en"/>
        </w:rPr>
        <w:t>Statutory authority:</w:t>
      </w:r>
      <w:r>
        <w:rPr>
          <w:rFonts w:asciiTheme="minorHAnsi" w:hAnsiTheme="minorHAnsi" w:cstheme="minorHAnsi"/>
          <w:lang w:val="en"/>
        </w:rPr>
        <w:t xml:space="preserve"> National Minimum Wage Act 1998.</w:t>
      </w:r>
    </w:p>
    <w:p w14:paraId="5B39D9FD"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bCs/>
          <w:lang w:val="en"/>
        </w:rPr>
        <w:t>Records of tests and examinations of control systems and protective equipment under the Control of Substances Hazardous to Health Regulations (COSHH)</w:t>
      </w:r>
      <w:r>
        <w:rPr>
          <w:rFonts w:asciiTheme="minorHAnsi" w:hAnsiTheme="minorHAnsi" w:cstheme="minorHAnsi"/>
          <w:lang w:val="en"/>
        </w:rPr>
        <w:br/>
      </w:r>
      <w:r>
        <w:rPr>
          <w:rFonts w:asciiTheme="minorHAnsi" w:hAnsiTheme="minorHAnsi" w:cstheme="minorHAnsi"/>
          <w:b/>
          <w:bCs/>
          <w:lang w:val="en"/>
        </w:rPr>
        <w:br/>
        <w:t>Statutory retention period:</w:t>
      </w:r>
      <w:r>
        <w:rPr>
          <w:rFonts w:asciiTheme="minorHAnsi" w:hAnsiTheme="minorHAnsi" w:cstheme="minorHAnsi"/>
          <w:lang w:val="en"/>
        </w:rPr>
        <w:t xml:space="preserve"> 5 years from the date on which the tests were carried out. </w:t>
      </w:r>
      <w:r>
        <w:rPr>
          <w:rFonts w:asciiTheme="minorHAnsi" w:hAnsiTheme="minorHAnsi" w:cstheme="minorHAnsi"/>
          <w:lang w:val="en"/>
        </w:rPr>
        <w:br/>
      </w:r>
      <w:r>
        <w:rPr>
          <w:rFonts w:asciiTheme="minorHAnsi" w:hAnsiTheme="minorHAnsi" w:cstheme="minorHAnsi"/>
          <w:b/>
          <w:bCs/>
          <w:lang w:val="en"/>
        </w:rPr>
        <w:t>Statutory authority:</w:t>
      </w:r>
      <w:r>
        <w:rPr>
          <w:rFonts w:asciiTheme="minorHAnsi" w:hAnsiTheme="minorHAnsi" w:cstheme="minorHAnsi"/>
          <w:lang w:val="en"/>
        </w:rPr>
        <w:t xml:space="preserve"> The Control of Substances Hazardous to Health Regulations 1999 and 2002 (COSHH) (SIs 1999/437 and 2002/2677).</w:t>
      </w:r>
    </w:p>
    <w:p w14:paraId="5B39D9FE"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bCs/>
          <w:lang w:val="en"/>
        </w:rPr>
        <w:t>Records relating to children and young adults</w:t>
      </w:r>
      <w:r>
        <w:rPr>
          <w:rFonts w:asciiTheme="minorHAnsi" w:hAnsiTheme="minorHAnsi" w:cstheme="minorHAnsi"/>
          <w:lang w:val="en"/>
        </w:rPr>
        <w:br/>
      </w:r>
      <w:r>
        <w:rPr>
          <w:rFonts w:asciiTheme="minorHAnsi" w:hAnsiTheme="minorHAnsi" w:cstheme="minorHAnsi"/>
          <w:b/>
          <w:bCs/>
          <w:lang w:val="en"/>
        </w:rPr>
        <w:br/>
        <w:t>Statutory retention period:</w:t>
      </w:r>
      <w:r>
        <w:rPr>
          <w:rFonts w:asciiTheme="minorHAnsi" w:hAnsiTheme="minorHAnsi" w:cstheme="minorHAnsi"/>
          <w:lang w:val="en"/>
        </w:rPr>
        <w:t xml:space="preserve"> until the child/young adult reaches the age of 21. </w:t>
      </w:r>
      <w:r>
        <w:rPr>
          <w:rFonts w:asciiTheme="minorHAnsi" w:hAnsiTheme="minorHAnsi" w:cstheme="minorHAnsi"/>
          <w:lang w:val="en"/>
        </w:rPr>
        <w:br/>
      </w:r>
      <w:r>
        <w:rPr>
          <w:rFonts w:asciiTheme="minorHAnsi" w:hAnsiTheme="minorHAnsi" w:cstheme="minorHAnsi"/>
          <w:b/>
          <w:bCs/>
          <w:lang w:val="en"/>
        </w:rPr>
        <w:t>Statutory authority:</w:t>
      </w:r>
      <w:r>
        <w:rPr>
          <w:rFonts w:asciiTheme="minorHAnsi" w:hAnsiTheme="minorHAnsi" w:cstheme="minorHAnsi"/>
          <w:lang w:val="en"/>
        </w:rPr>
        <w:t xml:space="preserve"> Limitation Act 1980.</w:t>
      </w:r>
    </w:p>
    <w:p w14:paraId="5B39D9FF"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bCs/>
          <w:lang w:val="en"/>
        </w:rPr>
        <w:t>Retirement Benefits Schemes – records of notifiable events, for example, relating to incapacity</w:t>
      </w:r>
      <w:r>
        <w:rPr>
          <w:rFonts w:asciiTheme="minorHAnsi" w:hAnsiTheme="minorHAnsi" w:cstheme="minorHAnsi"/>
          <w:lang w:val="en"/>
        </w:rPr>
        <w:br/>
      </w:r>
      <w:r>
        <w:rPr>
          <w:rFonts w:asciiTheme="minorHAnsi" w:hAnsiTheme="minorHAnsi" w:cstheme="minorHAnsi"/>
          <w:b/>
          <w:bCs/>
          <w:lang w:val="en"/>
        </w:rPr>
        <w:br/>
        <w:t>Statutory retention period:</w:t>
      </w:r>
      <w:r>
        <w:rPr>
          <w:rFonts w:asciiTheme="minorHAnsi" w:hAnsiTheme="minorHAnsi" w:cstheme="minorHAnsi"/>
          <w:lang w:val="en"/>
        </w:rPr>
        <w:t xml:space="preserve"> 6 years from the end of the scheme year in which the event took place. </w:t>
      </w:r>
      <w:r>
        <w:rPr>
          <w:rFonts w:asciiTheme="minorHAnsi" w:hAnsiTheme="minorHAnsi" w:cstheme="minorHAnsi"/>
          <w:lang w:val="en"/>
        </w:rPr>
        <w:br/>
      </w:r>
      <w:r>
        <w:rPr>
          <w:rFonts w:asciiTheme="minorHAnsi" w:hAnsiTheme="minorHAnsi" w:cstheme="minorHAnsi"/>
          <w:b/>
          <w:bCs/>
          <w:lang w:val="en"/>
        </w:rPr>
        <w:t>Statutory authority:</w:t>
      </w:r>
      <w:r>
        <w:rPr>
          <w:rFonts w:asciiTheme="minorHAnsi" w:hAnsiTheme="minorHAnsi" w:cstheme="minorHAnsi"/>
          <w:lang w:val="en"/>
        </w:rPr>
        <w:t xml:space="preserve"> The Retirement Benefits Schemes (Information Powers) Regulations 1995 (SI 1995/3103)</w:t>
      </w:r>
    </w:p>
    <w:p w14:paraId="5B39DA00"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bCs/>
          <w:lang w:val="en"/>
        </w:rPr>
        <w:t>Statutory Maternity Pay records, calculations, certificates (Mat B1s) or other medical evidence</w:t>
      </w:r>
      <w:r>
        <w:rPr>
          <w:rFonts w:asciiTheme="minorHAnsi" w:hAnsiTheme="minorHAnsi" w:cstheme="minorHAnsi"/>
          <w:lang w:val="en"/>
        </w:rPr>
        <w:br/>
      </w:r>
      <w:r>
        <w:rPr>
          <w:rFonts w:asciiTheme="minorHAnsi" w:hAnsiTheme="minorHAnsi" w:cstheme="minorHAnsi"/>
          <w:b/>
          <w:bCs/>
          <w:lang w:val="en"/>
        </w:rPr>
        <w:br/>
        <w:t>Statutory retention period:</w:t>
      </w:r>
      <w:r>
        <w:rPr>
          <w:rFonts w:asciiTheme="minorHAnsi" w:hAnsiTheme="minorHAnsi" w:cstheme="minorHAnsi"/>
          <w:lang w:val="en"/>
        </w:rPr>
        <w:t xml:space="preserve"> 3 years after the end of the tax year in which the maternity period ends. </w:t>
      </w:r>
      <w:r>
        <w:rPr>
          <w:rFonts w:asciiTheme="minorHAnsi" w:hAnsiTheme="minorHAnsi" w:cstheme="minorHAnsi"/>
          <w:lang w:val="en"/>
        </w:rPr>
        <w:br/>
      </w:r>
      <w:r>
        <w:rPr>
          <w:rFonts w:asciiTheme="minorHAnsi" w:hAnsiTheme="minorHAnsi" w:cstheme="minorHAnsi"/>
          <w:b/>
          <w:bCs/>
          <w:lang w:val="en"/>
        </w:rPr>
        <w:t>Statutory authority:</w:t>
      </w:r>
      <w:r>
        <w:rPr>
          <w:rFonts w:asciiTheme="minorHAnsi" w:hAnsiTheme="minorHAnsi" w:cstheme="minorHAnsi"/>
          <w:lang w:val="en"/>
        </w:rPr>
        <w:t xml:space="preserve"> The Statutory Maternity Pay (General) Regulations 1986 (SI 1986/1960) as amended.</w:t>
      </w:r>
    </w:p>
    <w:p w14:paraId="5B39DA01"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bCs/>
          <w:lang w:val="en"/>
        </w:rPr>
        <w:lastRenderedPageBreak/>
        <w:t>Wage/salary records (also overtime, bonuses, expenses)</w:t>
      </w:r>
      <w:r>
        <w:rPr>
          <w:rFonts w:asciiTheme="minorHAnsi" w:hAnsiTheme="minorHAnsi" w:cstheme="minorHAnsi"/>
          <w:lang w:val="en"/>
        </w:rPr>
        <w:br/>
      </w:r>
      <w:r>
        <w:rPr>
          <w:rFonts w:asciiTheme="minorHAnsi" w:hAnsiTheme="minorHAnsi" w:cstheme="minorHAnsi"/>
          <w:b/>
          <w:bCs/>
          <w:lang w:val="en"/>
        </w:rPr>
        <w:br/>
        <w:t>Statutory retention period:</w:t>
      </w:r>
      <w:r>
        <w:rPr>
          <w:rFonts w:asciiTheme="minorHAnsi" w:hAnsiTheme="minorHAnsi" w:cstheme="minorHAnsi"/>
          <w:lang w:val="en"/>
        </w:rPr>
        <w:t xml:space="preserve"> 6 years. </w:t>
      </w:r>
      <w:r>
        <w:rPr>
          <w:rFonts w:asciiTheme="minorHAnsi" w:hAnsiTheme="minorHAnsi" w:cstheme="minorHAnsi"/>
          <w:lang w:val="en"/>
        </w:rPr>
        <w:br/>
      </w:r>
      <w:r>
        <w:rPr>
          <w:rFonts w:asciiTheme="minorHAnsi" w:hAnsiTheme="minorHAnsi" w:cstheme="minorHAnsi"/>
          <w:b/>
          <w:bCs/>
          <w:lang w:val="en"/>
        </w:rPr>
        <w:t>Statutory authority: Taxes Management Act 1970.</w:t>
      </w:r>
    </w:p>
    <w:p w14:paraId="5B39DA02" w14:textId="77777777" w:rsidR="004628BB" w:rsidRDefault="002C5754">
      <w:pPr>
        <w:spacing w:before="100" w:beforeAutospacing="1" w:after="100" w:afterAutospacing="1"/>
        <w:rPr>
          <w:rFonts w:asciiTheme="minorHAnsi" w:hAnsiTheme="minorHAnsi" w:cstheme="minorHAnsi"/>
          <w:lang w:val="en"/>
        </w:rPr>
      </w:pPr>
      <w:r>
        <w:rPr>
          <w:rFonts w:asciiTheme="minorHAnsi" w:hAnsiTheme="minorHAnsi" w:cstheme="minorHAnsi"/>
          <w:b/>
          <w:bCs/>
          <w:lang w:val="en"/>
        </w:rPr>
        <w:t>Working time records</w:t>
      </w:r>
      <w:r>
        <w:rPr>
          <w:rFonts w:asciiTheme="minorHAnsi" w:hAnsiTheme="minorHAnsi" w:cstheme="minorHAnsi"/>
          <w:lang w:val="en"/>
        </w:rPr>
        <w:br/>
      </w:r>
      <w:r>
        <w:rPr>
          <w:rFonts w:asciiTheme="minorHAnsi" w:hAnsiTheme="minorHAnsi" w:cstheme="minorHAnsi"/>
          <w:b/>
          <w:bCs/>
          <w:lang w:val="en"/>
        </w:rPr>
        <w:br/>
        <w:t>Statutory retention period:</w:t>
      </w:r>
      <w:r>
        <w:rPr>
          <w:rFonts w:asciiTheme="minorHAnsi" w:hAnsiTheme="minorHAnsi" w:cstheme="minorHAnsi"/>
          <w:lang w:val="en"/>
        </w:rPr>
        <w:t xml:space="preserve"> 2 years from date on which they were made. </w:t>
      </w:r>
      <w:r>
        <w:rPr>
          <w:rFonts w:asciiTheme="minorHAnsi" w:hAnsiTheme="minorHAnsi" w:cstheme="minorHAnsi"/>
          <w:lang w:val="en"/>
        </w:rPr>
        <w:br/>
      </w:r>
      <w:r>
        <w:rPr>
          <w:rFonts w:asciiTheme="minorHAnsi" w:hAnsiTheme="minorHAnsi" w:cstheme="minorHAnsi"/>
          <w:b/>
          <w:bCs/>
          <w:lang w:val="en"/>
        </w:rPr>
        <w:t>Statutory authority:</w:t>
      </w:r>
      <w:r>
        <w:rPr>
          <w:rFonts w:asciiTheme="minorHAnsi" w:hAnsiTheme="minorHAnsi" w:cstheme="minorHAnsi"/>
          <w:lang w:val="en"/>
        </w:rPr>
        <w:t xml:space="preserve"> The Working Time Regulations 1998 (SI 1998/1833).</w:t>
      </w:r>
    </w:p>
    <w:p w14:paraId="5B39DA03" w14:textId="77777777" w:rsidR="004628BB" w:rsidRDefault="004628BB">
      <w:pPr>
        <w:spacing w:before="100" w:beforeAutospacing="1" w:after="100" w:afterAutospacing="1"/>
        <w:rPr>
          <w:rFonts w:asciiTheme="minorHAnsi" w:hAnsiTheme="minorHAnsi" w:cstheme="minorHAnsi"/>
          <w:b/>
          <w:lang w:val="en"/>
        </w:rPr>
      </w:pPr>
    </w:p>
    <w:p w14:paraId="5B39DA04" w14:textId="77777777" w:rsidR="004628BB" w:rsidRDefault="002C5754">
      <w:pPr>
        <w:spacing w:before="100" w:beforeAutospacing="1" w:after="100" w:afterAutospacing="1"/>
        <w:rPr>
          <w:rFonts w:asciiTheme="minorHAnsi" w:hAnsiTheme="minorHAnsi" w:cstheme="minorHAnsi"/>
          <w:b/>
          <w:sz w:val="28"/>
          <w:szCs w:val="28"/>
          <w:lang w:val="en"/>
        </w:rPr>
      </w:pPr>
      <w:r>
        <w:rPr>
          <w:rFonts w:asciiTheme="minorHAnsi" w:hAnsiTheme="minorHAnsi" w:cstheme="minorHAnsi"/>
          <w:b/>
          <w:sz w:val="28"/>
          <w:szCs w:val="28"/>
          <w:lang w:val="en"/>
        </w:rPr>
        <w:t>B) Non-statutory Retention Periods</w:t>
      </w:r>
    </w:p>
    <w:p w14:paraId="5B39DA05" w14:textId="77777777" w:rsidR="004628BB" w:rsidRDefault="002C5754">
      <w:pPr>
        <w:pStyle w:val="NormalWeb"/>
        <w:rPr>
          <w:rFonts w:asciiTheme="minorHAnsi" w:hAnsiTheme="minorHAnsi" w:cstheme="minorHAnsi"/>
          <w:lang w:val="en"/>
        </w:rPr>
      </w:pPr>
      <w:r>
        <w:rPr>
          <w:rFonts w:asciiTheme="minorHAnsi" w:hAnsiTheme="minorHAnsi" w:cstheme="minorHAnsi"/>
          <w:lang w:val="en"/>
        </w:rPr>
        <w:t xml:space="preserve">For many types of HR records, there is no statutory retention period. However, retention periods must be legally justifiable and </w:t>
      </w:r>
      <w:proofErr w:type="gramStart"/>
      <w:r>
        <w:rPr>
          <w:rFonts w:asciiTheme="minorHAnsi" w:hAnsiTheme="minorHAnsi" w:cstheme="minorHAnsi"/>
          <w:lang w:val="en"/>
        </w:rPr>
        <w:t>not be</w:t>
      </w:r>
      <w:proofErr w:type="gramEnd"/>
      <w:r>
        <w:rPr>
          <w:rFonts w:asciiTheme="minorHAnsi" w:hAnsiTheme="minorHAnsi" w:cstheme="minorHAnsi"/>
          <w:lang w:val="en"/>
        </w:rPr>
        <w:t xml:space="preserve"> excessive.</w:t>
      </w:r>
    </w:p>
    <w:p w14:paraId="5B39DA06" w14:textId="77777777" w:rsidR="004628BB" w:rsidRDefault="002C5754">
      <w:pPr>
        <w:pStyle w:val="NormalWeb"/>
        <w:rPr>
          <w:rFonts w:asciiTheme="minorHAnsi" w:hAnsiTheme="minorHAnsi" w:cstheme="minorHAnsi"/>
          <w:lang w:val="en"/>
        </w:rPr>
      </w:pPr>
      <w:r>
        <w:rPr>
          <w:rFonts w:asciiTheme="minorHAnsi" w:hAnsiTheme="minorHAnsi" w:cstheme="minorHAnsi"/>
          <w:lang w:val="en"/>
        </w:rPr>
        <w:t>The UK Limitation Act 1980 contains a 6-year time limit for starting many legal proceedings. So, where documents may be relevant to a contractual claim, it’s recommended that these are kept for at least a corresponding 6-year period.</w:t>
      </w:r>
    </w:p>
    <w:p w14:paraId="5B39DA07"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Actuarial valuation reports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permanently.</w:t>
      </w:r>
    </w:p>
    <w:p w14:paraId="5B39DA08"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Application forms and interview notes (for unsuccessful candidates)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6 months to a year. (Because of the time limits in the various discrimination Acts, minimum retention periods for records relating to advertising of vacancies and job applications should be at least 6 months. A year may be more advisable as the time limits for bringing claims can be extended. Successful job applicant’s documents will be transferred to the personnel file in any event.</w:t>
      </w:r>
    </w:p>
    <w:p w14:paraId="5B39DA09"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Assessments under health and safety regulations and records of consultations with safety representatives and committees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permanently.</w:t>
      </w:r>
    </w:p>
    <w:p w14:paraId="5B39DA0A"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Inland Revenue/HMRC approvals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permanently.</w:t>
      </w:r>
    </w:p>
    <w:p w14:paraId="5B39DA0B"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Money purchase details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6 years after transfer or value taken.</w:t>
      </w:r>
    </w:p>
    <w:p w14:paraId="5B39DA0C"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Parental leave</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18 years from the birth of the child.</w:t>
      </w:r>
    </w:p>
    <w:p w14:paraId="5B39DA0D"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Pension scheme investment policies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12 years from the ending of any benefit payable under the policy.</w:t>
      </w:r>
    </w:p>
    <w:p w14:paraId="5B39DA0E"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lastRenderedPageBreak/>
        <w:t>Pensioners' records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12 years after benefit ceases.</w:t>
      </w:r>
    </w:p>
    <w:p w14:paraId="5B39DA0F"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Personnel files and training records (including disciplinary records and working time records)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6 years after employment ceases.</w:t>
      </w:r>
    </w:p>
    <w:p w14:paraId="5B39DA10"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Redundancy details, calculations of payments, refunds, notification to the Secretary of State</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6 years from the date of redundancy</w:t>
      </w:r>
    </w:p>
    <w:p w14:paraId="5B39DA11"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Senior executives' records (that is, those on a senior management team or their equivalents)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permanently for historical purposes.</w:t>
      </w:r>
    </w:p>
    <w:p w14:paraId="5B39DA12"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Statutory Sick Pay records, calculations, certificates, self-certificates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The Statutory Sick Pay (Maintenance of Records) (Revocation) Regulations 2014 (SI 2014/55) abolished the former obligation on employers to keep these records. Although there is no longer a specific statutory retention period, employers still must keep sickness records to best suit their business needs. It is advisable to keep records for at least 3 months after the end of the period of sick leave in case of a disability discrimination claim. </w:t>
      </w:r>
      <w:proofErr w:type="gramStart"/>
      <w:r>
        <w:rPr>
          <w:rFonts w:asciiTheme="minorHAnsi" w:hAnsiTheme="minorHAnsi" w:cstheme="minorHAnsi"/>
          <w:lang w:val="en"/>
        </w:rPr>
        <w:t>However</w:t>
      </w:r>
      <w:proofErr w:type="gramEnd"/>
      <w:r>
        <w:rPr>
          <w:rFonts w:asciiTheme="minorHAnsi" w:hAnsiTheme="minorHAnsi" w:cstheme="minorHAnsi"/>
          <w:lang w:val="en"/>
        </w:rPr>
        <w:t xml:space="preserve"> if there were to be a contr</w:t>
      </w:r>
      <w:r>
        <w:rPr>
          <w:rFonts w:asciiTheme="minorHAnsi" w:hAnsiTheme="minorHAnsi" w:cstheme="minorHAnsi"/>
          <w:lang w:val="en"/>
        </w:rPr>
        <w:t xml:space="preserve">actual claim for breach of an employment contract it may be safer to keep records for 6 years after </w:t>
      </w:r>
      <w:proofErr w:type="gramStart"/>
      <w:r>
        <w:rPr>
          <w:rFonts w:asciiTheme="minorHAnsi" w:hAnsiTheme="minorHAnsi" w:cstheme="minorHAnsi"/>
          <w:lang w:val="en"/>
        </w:rPr>
        <w:t>the employment</w:t>
      </w:r>
      <w:proofErr w:type="gramEnd"/>
      <w:r>
        <w:rPr>
          <w:rFonts w:asciiTheme="minorHAnsi" w:hAnsiTheme="minorHAnsi" w:cstheme="minorHAnsi"/>
          <w:lang w:val="en"/>
        </w:rPr>
        <w:t xml:space="preserve"> ceases.</w:t>
      </w:r>
    </w:p>
    <w:p w14:paraId="5B39DA13" w14:textId="77777777" w:rsidR="004628BB" w:rsidRDefault="002C5754">
      <w:pPr>
        <w:pStyle w:val="NormalWeb"/>
        <w:rPr>
          <w:rFonts w:asciiTheme="minorHAnsi" w:hAnsiTheme="minorHAnsi" w:cstheme="minorHAnsi"/>
          <w:lang w:val="en"/>
        </w:rPr>
      </w:pPr>
      <w:proofErr w:type="gramStart"/>
      <w:r>
        <w:rPr>
          <w:rStyle w:val="Strong"/>
          <w:rFonts w:asciiTheme="minorHAnsi" w:hAnsiTheme="minorHAnsi" w:cstheme="minorHAnsi"/>
          <w:lang w:val="en"/>
        </w:rPr>
        <w:t>Time cards</w:t>
      </w:r>
      <w:proofErr w:type="gramEnd"/>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2 years after audit.</w:t>
      </w:r>
    </w:p>
    <w:p w14:paraId="5B39DA14"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Trade union agreements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10 years after ceasing to be effective.</w:t>
      </w:r>
    </w:p>
    <w:p w14:paraId="5B39DA15"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Trust deeds and rules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permanently.</w:t>
      </w:r>
    </w:p>
    <w:p w14:paraId="5B39DA16"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Trustees' minute books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permanently.</w:t>
      </w:r>
    </w:p>
    <w:p w14:paraId="5B39DA17" w14:textId="77777777" w:rsidR="004628BB" w:rsidRDefault="002C5754">
      <w:pPr>
        <w:pStyle w:val="NormalWeb"/>
        <w:rPr>
          <w:rFonts w:asciiTheme="minorHAnsi" w:hAnsiTheme="minorHAnsi" w:cstheme="minorHAnsi"/>
          <w:lang w:val="en"/>
        </w:rPr>
      </w:pPr>
      <w:r>
        <w:rPr>
          <w:rStyle w:val="Strong"/>
          <w:rFonts w:asciiTheme="minorHAnsi" w:hAnsiTheme="minorHAnsi" w:cstheme="minorHAnsi"/>
          <w:lang w:val="en"/>
        </w:rPr>
        <w:t>Works council minutes</w:t>
      </w:r>
      <w:r>
        <w:rPr>
          <w:rFonts w:asciiTheme="minorHAnsi" w:hAnsiTheme="minorHAnsi" w:cstheme="minorHAnsi"/>
          <w:lang w:val="en"/>
        </w:rPr>
        <w:br/>
      </w:r>
      <w:r>
        <w:rPr>
          <w:rStyle w:val="Strong"/>
          <w:rFonts w:asciiTheme="minorHAnsi" w:hAnsiTheme="minorHAnsi" w:cstheme="minorHAnsi"/>
          <w:lang w:val="en"/>
        </w:rPr>
        <w:t>Recommended retention period:</w:t>
      </w:r>
      <w:r>
        <w:rPr>
          <w:rFonts w:asciiTheme="minorHAnsi" w:hAnsiTheme="minorHAnsi" w:cstheme="minorHAnsi"/>
          <w:lang w:val="en"/>
        </w:rPr>
        <w:t xml:space="preserve"> permanently.</w:t>
      </w:r>
    </w:p>
    <w:p w14:paraId="5B39DA18" w14:textId="77777777" w:rsidR="004628BB" w:rsidRDefault="004628BB">
      <w:pPr>
        <w:pStyle w:val="NormalWeb"/>
        <w:rPr>
          <w:rFonts w:asciiTheme="minorHAnsi" w:hAnsiTheme="minorHAnsi" w:cstheme="minorHAnsi"/>
          <w:b/>
          <w:lang w:val="en"/>
        </w:rPr>
      </w:pPr>
    </w:p>
    <w:p w14:paraId="5B39DA19" w14:textId="77777777" w:rsidR="004628BB" w:rsidRDefault="004628BB">
      <w:pPr>
        <w:pStyle w:val="NormalWeb"/>
        <w:rPr>
          <w:rFonts w:asciiTheme="minorHAnsi" w:hAnsiTheme="minorHAnsi" w:cstheme="minorHAnsi"/>
          <w:b/>
          <w:lang w:val="en"/>
        </w:rPr>
      </w:pPr>
    </w:p>
    <w:p w14:paraId="5B39DA1A" w14:textId="77777777" w:rsidR="004628BB" w:rsidRDefault="004628BB">
      <w:pPr>
        <w:pStyle w:val="NormalWeb"/>
        <w:rPr>
          <w:rFonts w:asciiTheme="minorHAnsi" w:hAnsiTheme="minorHAnsi" w:cstheme="minorHAnsi"/>
          <w:b/>
          <w:lang w:val="en"/>
        </w:rPr>
      </w:pPr>
    </w:p>
    <w:p w14:paraId="5B39DA1B" w14:textId="77777777" w:rsidR="004628BB" w:rsidRDefault="004628BB">
      <w:pPr>
        <w:pStyle w:val="NormalWeb"/>
        <w:rPr>
          <w:rFonts w:asciiTheme="minorHAnsi" w:hAnsiTheme="minorHAnsi" w:cstheme="minorHAnsi"/>
          <w:b/>
          <w:lang w:val="en"/>
        </w:rPr>
      </w:pPr>
    </w:p>
    <w:p w14:paraId="5B39DA1C" w14:textId="77777777" w:rsidR="004628BB" w:rsidRDefault="004628BB">
      <w:pPr>
        <w:pStyle w:val="NormalWeb"/>
        <w:rPr>
          <w:rFonts w:asciiTheme="minorHAnsi" w:hAnsiTheme="minorHAnsi" w:cstheme="minorHAnsi"/>
          <w:b/>
          <w:lang w:val="en"/>
        </w:rPr>
      </w:pPr>
    </w:p>
    <w:p w14:paraId="5B39DA1D" w14:textId="77777777" w:rsidR="004628BB" w:rsidRDefault="002C5754">
      <w:pPr>
        <w:pStyle w:val="NormalWeb"/>
        <w:rPr>
          <w:rFonts w:asciiTheme="minorHAnsi" w:hAnsiTheme="minorHAnsi" w:cstheme="minorHAnsi"/>
          <w:b/>
          <w:lang w:val="en"/>
        </w:rPr>
      </w:pPr>
      <w:r>
        <w:rPr>
          <w:rFonts w:asciiTheme="minorHAnsi" w:hAnsiTheme="minorHAnsi" w:cstheme="minorHAnsi"/>
          <w:b/>
          <w:lang w:val="en"/>
        </w:rPr>
        <w:t>C. All other data retention periods</w:t>
      </w:r>
    </w:p>
    <w:p w14:paraId="5B39DA1E" w14:textId="77777777" w:rsidR="004628BB" w:rsidRDefault="002C5754">
      <w:pPr>
        <w:pStyle w:val="NormalWeb"/>
        <w:rPr>
          <w:rFonts w:asciiTheme="minorHAnsi" w:hAnsiTheme="minorHAnsi" w:cstheme="minorHAnsi"/>
          <w:lang w:val="en"/>
        </w:rPr>
      </w:pPr>
      <w:r>
        <w:rPr>
          <w:rFonts w:asciiTheme="minorHAnsi" w:hAnsiTheme="minorHAnsi" w:cstheme="minorHAnsi"/>
          <w:lang w:val="en"/>
        </w:rPr>
        <w:t xml:space="preserve">Some specific types of data </w:t>
      </w:r>
      <w:proofErr w:type="gramStart"/>
      <w:r>
        <w:rPr>
          <w:rFonts w:asciiTheme="minorHAnsi" w:hAnsiTheme="minorHAnsi" w:cstheme="minorHAnsi"/>
          <w:lang w:val="en"/>
        </w:rPr>
        <w:t>is</w:t>
      </w:r>
      <w:proofErr w:type="gramEnd"/>
      <w:r>
        <w:rPr>
          <w:rFonts w:asciiTheme="minorHAnsi" w:hAnsiTheme="minorHAnsi" w:cstheme="minorHAnsi"/>
          <w:lang w:val="en"/>
        </w:rPr>
        <w:t xml:space="preserve"> retained may be retained on either a periodic or rare basis. A summary of specific data retention periods is detailed in the table below.</w:t>
      </w:r>
    </w:p>
    <w:tbl>
      <w:tblPr>
        <w:tblW w:w="4748"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404"/>
        <w:gridCol w:w="2363"/>
        <w:gridCol w:w="2120"/>
      </w:tblGrid>
      <w:tr w:rsidR="004628BB" w14:paraId="5B39DA22"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1F"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Type Of Document</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2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21"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A26"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23"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Incorporation Documents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24"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25"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A2A"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27"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Certificate of </w:t>
            </w:r>
            <w:r>
              <w:rPr>
                <w:rFonts w:asciiTheme="minorHAnsi" w:hAnsiTheme="minorHAnsi" w:cstheme="minorHAnsi"/>
                <w:color w:val="000000" w:themeColor="text1"/>
              </w:rPr>
              <w:t>Incorporation and Certificates on Change of Name</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28"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29"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2E"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2B"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Certificate to commence business (Public Company)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2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2D"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32"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2F"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Memorandum and Articles of Association (original and updated copies)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3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31"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36"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33"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Printed copies of </w:t>
            </w:r>
            <w:r>
              <w:rPr>
                <w:rFonts w:asciiTheme="minorHAnsi" w:hAnsiTheme="minorHAnsi" w:cstheme="minorHAnsi"/>
                <w:color w:val="000000" w:themeColor="text1"/>
              </w:rPr>
              <w:t>resolutions submitted to Companies House</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34"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35"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3A"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37"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38"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39"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A3E"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3B"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Statutory Returns, Records and Registers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3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3D"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A42"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3F"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Annual Return (copy)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4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41"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46"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43"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Return of Allotments (copy)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44"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45"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4A"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47"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Directors’ Service Contracts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48"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cessation</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49"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cessation</w:t>
            </w:r>
          </w:p>
        </w:tc>
      </w:tr>
      <w:tr w:rsidR="004628BB" w14:paraId="5B39DA4E"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4B"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Register of Directors and Secretaries (original)</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4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4D"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52"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4F"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Register of Directors’ interests in Shares and Debentures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5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51"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56"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53"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lastRenderedPageBreak/>
              <w:t>Register of interests in voting shares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54"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55"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5A"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57"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Register of Charges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58"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59"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5E"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5B"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Register of Documents sealed (if applicable)</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5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5D"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62"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5F"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Unpaid dividend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6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61"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12 years after dividend declared</w:t>
            </w:r>
          </w:p>
        </w:tc>
      </w:tr>
      <w:tr w:rsidR="004628BB" w14:paraId="5B39DA66"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63"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Dividend and interest mandate forms</w:t>
            </w:r>
            <w:r>
              <w:rPr>
                <w:rFonts w:asciiTheme="minorHAnsi" w:hAnsiTheme="minorHAnsi" w:cstheme="minorHAnsi"/>
                <w:color w:val="000000" w:themeColor="text1"/>
              </w:rPr>
              <w:br/>
              <w:t>ceased to be valid</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64"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65"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3 years from when the instruction</w:t>
            </w:r>
          </w:p>
        </w:tc>
      </w:tr>
      <w:tr w:rsidR="004628BB" w14:paraId="5B39DA6A"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67"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Notification of address change by member</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68"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69"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2 years after notification</w:t>
            </w:r>
          </w:p>
        </w:tc>
      </w:tr>
      <w:tr w:rsidR="004628BB" w14:paraId="5B39DA6E"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6B"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6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6D"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A72"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6F"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Share Registration Documents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7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71"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A76"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73"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Register of Members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74"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75"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7A"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77"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Register of Debentures and Loan </w:t>
            </w:r>
            <w:proofErr w:type="gramStart"/>
            <w:r>
              <w:rPr>
                <w:rFonts w:asciiTheme="minorHAnsi" w:hAnsiTheme="minorHAnsi" w:cstheme="minorHAnsi"/>
                <w:color w:val="000000" w:themeColor="text1"/>
              </w:rPr>
              <w:t>Stock holders</w:t>
            </w:r>
            <w:proofErr w:type="gramEnd"/>
          </w:p>
        </w:tc>
        <w:tc>
          <w:tcPr>
            <w:tcW w:w="2363" w:type="dxa"/>
            <w:tcBorders>
              <w:top w:val="nil"/>
              <w:left w:val="nil"/>
              <w:bottom w:val="nil"/>
              <w:right w:val="nil"/>
            </w:tcBorders>
            <w:shd w:val="clear" w:color="auto" w:fill="FFFFFF"/>
            <w:tcMar>
              <w:top w:w="60" w:type="dxa"/>
              <w:left w:w="0" w:type="dxa"/>
              <w:bottom w:w="60" w:type="dxa"/>
              <w:right w:w="0" w:type="dxa"/>
            </w:tcMar>
          </w:tcPr>
          <w:p w14:paraId="5B39DA78"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79"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 / 7 years after</w:t>
            </w:r>
            <w:r>
              <w:rPr>
                <w:rFonts w:asciiTheme="minorHAnsi" w:hAnsiTheme="minorHAnsi" w:cstheme="minorHAnsi"/>
                <w:color w:val="000000" w:themeColor="text1"/>
              </w:rPr>
              <w:br/>
              <w:t>redemption of stock</w:t>
            </w:r>
          </w:p>
        </w:tc>
      </w:tr>
      <w:tr w:rsidR="004628BB" w14:paraId="5B39DA7E"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7B"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Letters and forms applying for Shares, Debentures etc.</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7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7D"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12 years from </w:t>
            </w:r>
            <w:r>
              <w:rPr>
                <w:rFonts w:asciiTheme="minorHAnsi" w:hAnsiTheme="minorHAnsi" w:cstheme="minorHAnsi"/>
                <w:color w:val="000000" w:themeColor="text1"/>
              </w:rPr>
              <w:t>issue, with a</w:t>
            </w:r>
            <w:r>
              <w:rPr>
                <w:rFonts w:asciiTheme="minorHAnsi" w:hAnsiTheme="minorHAnsi" w:cstheme="minorHAnsi"/>
                <w:color w:val="000000" w:themeColor="text1"/>
              </w:rPr>
              <w:br/>
              <w:t>permanent microfilmed record</w:t>
            </w:r>
          </w:p>
        </w:tc>
      </w:tr>
      <w:tr w:rsidR="004628BB" w14:paraId="5B39DA82"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7F"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Renounceable Letter of Allotment and Acceptances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8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81"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Originals for 12 years from renunciation, with a permanent</w:t>
            </w:r>
            <w:r>
              <w:rPr>
                <w:rFonts w:asciiTheme="minorHAnsi" w:hAnsiTheme="minorHAnsi" w:cstheme="minorHAnsi"/>
                <w:color w:val="000000" w:themeColor="text1"/>
              </w:rPr>
              <w:br/>
              <w:t>microfilmed record</w:t>
            </w:r>
          </w:p>
        </w:tc>
      </w:tr>
      <w:tr w:rsidR="004628BB" w14:paraId="5B39DA86"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83"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Renounced Share Certificates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84"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85"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Originals for 12 years from </w:t>
            </w:r>
            <w:r>
              <w:rPr>
                <w:rFonts w:asciiTheme="minorHAnsi" w:hAnsiTheme="minorHAnsi" w:cstheme="minorHAnsi"/>
                <w:color w:val="000000" w:themeColor="text1"/>
              </w:rPr>
              <w:t xml:space="preserve">renunciation, </w:t>
            </w:r>
            <w:r>
              <w:rPr>
                <w:rFonts w:asciiTheme="minorHAnsi" w:hAnsiTheme="minorHAnsi" w:cstheme="minorHAnsi"/>
                <w:color w:val="000000" w:themeColor="text1"/>
              </w:rPr>
              <w:lastRenderedPageBreak/>
              <w:t>with a permanent</w:t>
            </w:r>
            <w:r>
              <w:rPr>
                <w:rFonts w:asciiTheme="minorHAnsi" w:hAnsiTheme="minorHAnsi" w:cstheme="minorHAnsi"/>
                <w:color w:val="000000" w:themeColor="text1"/>
              </w:rPr>
              <w:br/>
              <w:t>microfilmed record</w:t>
            </w:r>
          </w:p>
        </w:tc>
      </w:tr>
      <w:tr w:rsidR="004628BB" w14:paraId="5B39DA89"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87"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lastRenderedPageBreak/>
              <w:t>Contracts for purchase of own shares by Company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88"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8C"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8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Share &amp; Stock Transfer forms</w:t>
            </w:r>
            <w:r>
              <w:rPr>
                <w:rFonts w:asciiTheme="minorHAnsi" w:hAnsiTheme="minorHAnsi" w:cstheme="minorHAnsi"/>
                <w:color w:val="000000" w:themeColor="text1"/>
              </w:rPr>
              <w:br/>
              <w:t>and Letter of Request with permanent microfilmed record</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8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8F"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8D"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Requests for designating or redesign ting accounts</w:t>
            </w:r>
            <w:r>
              <w:rPr>
                <w:rFonts w:asciiTheme="minorHAnsi" w:hAnsiTheme="minorHAnsi" w:cstheme="minorHAnsi"/>
                <w:color w:val="000000" w:themeColor="text1"/>
              </w:rPr>
              <w:br/>
              <w:t xml:space="preserve">with </w:t>
            </w:r>
            <w:r>
              <w:rPr>
                <w:rFonts w:asciiTheme="minorHAnsi" w:hAnsiTheme="minorHAnsi" w:cstheme="minorHAnsi"/>
                <w:color w:val="000000" w:themeColor="text1"/>
              </w:rPr>
              <w:t>permanent microfilmed record</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8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92"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9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Cancelled share/stock Certificate</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91"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95"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9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Stop Notice and other Court Orders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9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98"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9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Letters of indemnity for lost Certificates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9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9B"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99"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Powers of Attorney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9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9E"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9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Dividend and interest payment lists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9D"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A1"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9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Paid dividend and </w:t>
            </w:r>
            <w:r>
              <w:rPr>
                <w:rFonts w:asciiTheme="minorHAnsi" w:hAnsiTheme="minorHAnsi" w:cstheme="minorHAnsi"/>
                <w:color w:val="000000" w:themeColor="text1"/>
              </w:rPr>
              <w:t>interest warrants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A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A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A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A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A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AA8"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A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Bank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A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AAB"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A9"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Cheques, bills of exchange and other negotiable instruments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A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AE"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A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Paying-in counterfoils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AD"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B1" w14:textId="77777777">
        <w:trPr>
          <w:gridAfter w:val="1"/>
          <w:wAfter w:w="2120" w:type="dxa"/>
        </w:trPr>
        <w:tc>
          <w:tcPr>
            <w:tcW w:w="3404" w:type="dxa"/>
            <w:tcBorders>
              <w:top w:val="nil"/>
              <w:left w:val="nil"/>
              <w:bottom w:val="nil"/>
              <w:right w:val="nil"/>
            </w:tcBorders>
            <w:shd w:val="clear" w:color="auto" w:fill="FFFFFF"/>
            <w:tcMar>
              <w:top w:w="60" w:type="dxa"/>
              <w:left w:w="0" w:type="dxa"/>
              <w:bottom w:w="60" w:type="dxa"/>
              <w:right w:w="0" w:type="dxa"/>
            </w:tcMar>
          </w:tcPr>
          <w:p w14:paraId="5B39DAA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Statements from and instructions to the bank</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B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r>
      <w:tr w:rsidR="004628BB" w14:paraId="5B39DAB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B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Public Company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B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B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10 years</w:t>
            </w:r>
          </w:p>
        </w:tc>
      </w:tr>
      <w:tr w:rsidR="004628BB" w14:paraId="5B39DAB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B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Limited Company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B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B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10 </w:t>
            </w:r>
            <w:r>
              <w:rPr>
                <w:rFonts w:asciiTheme="minorHAnsi" w:hAnsiTheme="minorHAnsi" w:cstheme="minorHAnsi"/>
                <w:color w:val="000000" w:themeColor="text1"/>
              </w:rPr>
              <w:t>years</w:t>
            </w:r>
          </w:p>
        </w:tc>
      </w:tr>
      <w:tr w:rsidR="004628BB" w14:paraId="5B39DAB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B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Annual report and accounts (signed)</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B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B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C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B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Annual report and accounts (unsigned)</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B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C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 (keep sufficient</w:t>
            </w:r>
            <w:r>
              <w:rPr>
                <w:rFonts w:asciiTheme="minorHAnsi" w:hAnsiTheme="minorHAnsi" w:cstheme="minorHAnsi"/>
                <w:color w:val="000000" w:themeColor="text1"/>
              </w:rPr>
              <w:br/>
              <w:t>copies to meet requests)</w:t>
            </w:r>
          </w:p>
        </w:tc>
      </w:tr>
      <w:tr w:rsidR="004628BB" w14:paraId="5B39DAC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C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lastRenderedPageBreak/>
              <w:t>Interim report and accounts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C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C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 (keep sufficient</w:t>
            </w:r>
            <w:r>
              <w:rPr>
                <w:rFonts w:asciiTheme="minorHAnsi" w:hAnsiTheme="minorHAnsi" w:cstheme="minorHAnsi"/>
                <w:color w:val="000000" w:themeColor="text1"/>
              </w:rPr>
              <w:br/>
              <w:t>copies to meet requests)</w:t>
            </w:r>
          </w:p>
        </w:tc>
      </w:tr>
      <w:tr w:rsidR="004628BB" w14:paraId="5B39DAC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C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Budgets, forecasts and </w:t>
            </w:r>
            <w:proofErr w:type="gramStart"/>
            <w:r>
              <w:rPr>
                <w:rFonts w:asciiTheme="minorHAnsi" w:hAnsiTheme="minorHAnsi" w:cstheme="minorHAnsi"/>
                <w:color w:val="000000" w:themeColor="text1"/>
              </w:rPr>
              <w:t>periodic  internal</w:t>
            </w:r>
            <w:proofErr w:type="gramEnd"/>
            <w:r>
              <w:rPr>
                <w:rFonts w:asciiTheme="minorHAnsi" w:hAnsiTheme="minorHAnsi" w:cstheme="minorHAnsi"/>
                <w:color w:val="000000" w:themeColor="text1"/>
              </w:rPr>
              <w:t xml:space="preserve"> financial reports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C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C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5 years</w:t>
            </w:r>
          </w:p>
        </w:tc>
      </w:tr>
      <w:tr w:rsidR="004628BB" w14:paraId="5B39DAC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C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Taxation records and tax returns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C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Inspection possible up to</w:t>
            </w:r>
            <w:r>
              <w:rPr>
                <w:rFonts w:asciiTheme="minorHAnsi" w:hAnsiTheme="minorHAnsi" w:cstheme="minorHAnsi"/>
                <w:color w:val="000000" w:themeColor="text1"/>
              </w:rPr>
              <w:br/>
              <w:t>6 years after tax/accounting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C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D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C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VAT records and Customs &amp; Excise returns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C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Inspection may be conducted up to 6</w:t>
            </w:r>
            <w:r>
              <w:rPr>
                <w:rFonts w:asciiTheme="minorHAnsi" w:hAnsiTheme="minorHAnsi" w:cstheme="minorHAnsi"/>
                <w:color w:val="000000" w:themeColor="text1"/>
              </w:rPr>
              <w:br/>
              <w:t>years after tax/accounting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D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AD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D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Expense accounts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D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D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7 years</w:t>
            </w:r>
          </w:p>
        </w:tc>
      </w:tr>
      <w:tr w:rsidR="004628BB" w14:paraId="5B39DAD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D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D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D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AD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D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Charity Donation Documents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DB"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D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AE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D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Deeds of Covenant</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D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last payment</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E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12 years after last </w:t>
            </w:r>
            <w:r>
              <w:rPr>
                <w:rFonts w:asciiTheme="minorHAnsi" w:hAnsiTheme="minorHAnsi" w:cstheme="minorHAnsi"/>
                <w:color w:val="000000" w:themeColor="text1"/>
              </w:rPr>
              <w:t>payment</w:t>
            </w:r>
          </w:p>
        </w:tc>
      </w:tr>
      <w:tr w:rsidR="004628BB" w14:paraId="5B39DAE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E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Documents supporting entries in accounts for donations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E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 or 6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E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w:t>
            </w:r>
          </w:p>
        </w:tc>
      </w:tr>
      <w:tr w:rsidR="004628BB" w14:paraId="5B39DAE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E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E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E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AE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E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Contracts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EB"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E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AF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E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Contracts executed under seal</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E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F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 after expiry</w:t>
            </w:r>
          </w:p>
        </w:tc>
      </w:tr>
      <w:tr w:rsidR="004628BB" w14:paraId="5B39DAF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F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Contracts with </w:t>
            </w:r>
            <w:r>
              <w:rPr>
                <w:rFonts w:asciiTheme="minorHAnsi" w:hAnsiTheme="minorHAnsi" w:cstheme="minorHAnsi"/>
                <w:color w:val="000000" w:themeColor="text1"/>
              </w:rPr>
              <w:t xml:space="preserve">customers, suppliers, </w:t>
            </w:r>
            <w:proofErr w:type="gramStart"/>
            <w:r>
              <w:rPr>
                <w:rFonts w:asciiTheme="minorHAnsi" w:hAnsiTheme="minorHAnsi" w:cstheme="minorHAnsi"/>
                <w:color w:val="000000" w:themeColor="text1"/>
              </w:rPr>
              <w:t>agents</w:t>
            </w:r>
            <w:proofErr w:type="gramEnd"/>
            <w:r>
              <w:rPr>
                <w:rFonts w:asciiTheme="minorHAnsi" w:hAnsiTheme="minorHAnsi" w:cstheme="minorHAnsi"/>
                <w:color w:val="000000" w:themeColor="text1"/>
              </w:rPr>
              <w:t xml:space="preserve"> or others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F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F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expiry or contract</w:t>
            </w:r>
            <w:r>
              <w:rPr>
                <w:rFonts w:asciiTheme="minorHAnsi" w:hAnsiTheme="minorHAnsi" w:cstheme="minorHAnsi"/>
                <w:color w:val="000000" w:themeColor="text1"/>
              </w:rPr>
              <w:br/>
              <w:t>completion</w:t>
            </w:r>
          </w:p>
        </w:tc>
      </w:tr>
      <w:tr w:rsidR="004628BB" w14:paraId="5B39DAF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F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Rental and hire purchase agreements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F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F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expiry</w:t>
            </w:r>
          </w:p>
        </w:tc>
      </w:tr>
      <w:tr w:rsidR="004628BB" w14:paraId="5B39DAF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F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Licensing agreements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F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AF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expiry</w:t>
            </w:r>
          </w:p>
        </w:tc>
      </w:tr>
      <w:tr w:rsidR="004628BB" w14:paraId="5B39DB0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AF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Trust deeds and rules (pension schemes)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AF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0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0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0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0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0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B0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0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Insurance</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07"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08"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B0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0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lastRenderedPageBreak/>
              <w:t>Public liability policies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0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0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1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0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Product liability policies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0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1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1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1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Employers’ liability policies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1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40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1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1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1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Sundry </w:t>
            </w:r>
            <w:r>
              <w:rPr>
                <w:rFonts w:asciiTheme="minorHAnsi" w:hAnsiTheme="minorHAnsi" w:cstheme="minorHAnsi"/>
                <w:color w:val="000000" w:themeColor="text1"/>
              </w:rPr>
              <w:t>insurance policies and insurance schedules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1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1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Until claims under policy are barred or 3 years after policy</w:t>
            </w:r>
            <w:r>
              <w:rPr>
                <w:rFonts w:asciiTheme="minorHAnsi" w:hAnsiTheme="minorHAnsi" w:cstheme="minorHAnsi"/>
                <w:color w:val="000000" w:themeColor="text1"/>
              </w:rPr>
              <w:br/>
              <w:t>lapses, whichever is longer</w:t>
            </w:r>
          </w:p>
        </w:tc>
      </w:tr>
      <w:tr w:rsidR="004628BB" w14:paraId="5B39DB1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1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Group health policies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1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1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 after final cessation of</w:t>
            </w:r>
            <w:r>
              <w:rPr>
                <w:rFonts w:asciiTheme="minorHAnsi" w:hAnsiTheme="minorHAnsi" w:cstheme="minorHAnsi"/>
                <w:color w:val="000000" w:themeColor="text1"/>
              </w:rPr>
              <w:br/>
              <w:t>benefit</w:t>
            </w:r>
          </w:p>
        </w:tc>
      </w:tr>
      <w:tr w:rsidR="004628BB" w14:paraId="5B39DB2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1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Group personal accident policies</w:t>
            </w:r>
            <w:r>
              <w:rPr>
                <w:rFonts w:asciiTheme="minorHAnsi" w:hAnsiTheme="minorHAnsi" w:cstheme="minorHAnsi"/>
                <w:color w:val="000000" w:themeColor="text1"/>
              </w:rPr>
              <w:br/>
              <w:t>Claims correspondence N/A 3 years after settlement</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1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2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 after final cessation of</w:t>
            </w:r>
            <w:r>
              <w:rPr>
                <w:rFonts w:asciiTheme="minorHAnsi" w:hAnsiTheme="minorHAnsi" w:cstheme="minorHAnsi"/>
                <w:color w:val="000000" w:themeColor="text1"/>
              </w:rPr>
              <w:br/>
              <w:t>benefit</w:t>
            </w:r>
          </w:p>
        </w:tc>
      </w:tr>
      <w:tr w:rsidR="004628BB" w14:paraId="5B39DB2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2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2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2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B2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2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Health &amp; Safety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27"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28"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B2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2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Record of consultations with safety representative and committees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2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2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3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2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Health &amp; Safety policy documents (old and revised copies)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2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Implied permanently by Health &amp; Safety at Work Act (1974 S2(3)</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3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3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3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Assessment of risks under health and safety regulations (including routine assessment monitoring and maintenance records for aspects in workplace such as air quality, levels of pollution, noise level, use of hazardous substances etc.)</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3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Until revised (Management of Health &amp; Safety at Work Regulations 1992 S1 1992/2051)</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3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 (old and current copies)</w:t>
            </w:r>
          </w:p>
        </w:tc>
      </w:tr>
      <w:tr w:rsidR="004628BB" w14:paraId="5B39DB3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3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Accident report book and relevant records/ correspondence</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3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 years from date of entry (Health &amp; Safety at Work Act 1974 S7)</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3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3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3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Medical records – general</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3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3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w:t>
            </w:r>
          </w:p>
        </w:tc>
      </w:tr>
      <w:tr w:rsidR="004628BB" w14:paraId="5B39DB4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3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3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4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B4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4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Employees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43"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44"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Retention</w:t>
            </w:r>
          </w:p>
        </w:tc>
      </w:tr>
      <w:tr w:rsidR="004628BB" w14:paraId="5B39DB4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4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lastRenderedPageBreak/>
              <w:t>Personnel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4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4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7 years after employment ceases, with permanent</w:t>
            </w:r>
            <w:r>
              <w:rPr>
                <w:rFonts w:asciiTheme="minorHAnsi" w:hAnsiTheme="minorHAnsi" w:cstheme="minorHAnsi"/>
                <w:color w:val="000000" w:themeColor="text1"/>
              </w:rPr>
              <w:br/>
              <w:t>microfilmed record</w:t>
            </w:r>
          </w:p>
        </w:tc>
      </w:tr>
      <w:tr w:rsidR="004628BB" w14:paraId="5B39DB4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4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Senior executive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4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4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5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4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Training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4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5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employment ceases</w:t>
            </w:r>
          </w:p>
        </w:tc>
      </w:tr>
      <w:tr w:rsidR="004628BB" w14:paraId="5B39DB5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5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Employment agreements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5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5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5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5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Payroll and wage </w:t>
            </w:r>
            <w:r>
              <w:rPr>
                <w:rFonts w:asciiTheme="minorHAnsi" w:hAnsiTheme="minorHAnsi" w:cstheme="minorHAnsi"/>
                <w:color w:val="000000" w:themeColor="text1"/>
              </w:rPr>
              <w:t>records</w:t>
            </w:r>
            <w:r>
              <w:rPr>
                <w:rFonts w:asciiTheme="minorHAnsi" w:hAnsiTheme="minorHAnsi" w:cstheme="minorHAnsi"/>
                <w:color w:val="000000" w:themeColor="text1"/>
              </w:rPr>
              <w:br/>
              <w:t xml:space="preserve">(including details of overtime, </w:t>
            </w:r>
            <w:proofErr w:type="gramStart"/>
            <w:r>
              <w:rPr>
                <w:rFonts w:asciiTheme="minorHAnsi" w:hAnsiTheme="minorHAnsi" w:cstheme="minorHAnsi"/>
                <w:color w:val="000000" w:themeColor="text1"/>
              </w:rPr>
              <w:t>bonuses</w:t>
            </w:r>
            <w:proofErr w:type="gramEnd"/>
            <w:r>
              <w:rPr>
                <w:rFonts w:asciiTheme="minorHAnsi" w:hAnsiTheme="minorHAnsi" w:cstheme="minorHAnsi"/>
                <w:color w:val="000000" w:themeColor="text1"/>
              </w:rPr>
              <w:t xml:space="preserve"> and expenses)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5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5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w:t>
            </w:r>
          </w:p>
        </w:tc>
      </w:tr>
      <w:tr w:rsidR="004628BB" w14:paraId="5B39DB5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5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Salary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5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5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5 years</w:t>
            </w:r>
          </w:p>
        </w:tc>
      </w:tr>
      <w:tr w:rsidR="004628BB" w14:paraId="5B39DB6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5E" w14:textId="77777777" w:rsidR="004628BB" w:rsidRDefault="002C5754">
            <w:pPr>
              <w:spacing w:line="240" w:lineRule="atLeast"/>
              <w:rPr>
                <w:rFonts w:asciiTheme="minorHAnsi" w:hAnsiTheme="minorHAnsi" w:cstheme="minorHAnsi"/>
                <w:color w:val="000000" w:themeColor="text1"/>
              </w:rPr>
            </w:pPr>
            <w:proofErr w:type="gramStart"/>
            <w:r>
              <w:rPr>
                <w:rFonts w:asciiTheme="minorHAnsi" w:hAnsiTheme="minorHAnsi" w:cstheme="minorHAnsi"/>
                <w:color w:val="000000" w:themeColor="text1"/>
              </w:rPr>
              <w:t>Time cards</w:t>
            </w:r>
            <w:proofErr w:type="gramEnd"/>
            <w:r>
              <w:rPr>
                <w:rFonts w:asciiTheme="minorHAnsi" w:hAnsiTheme="minorHAnsi" w:cstheme="minorHAnsi"/>
                <w:color w:val="000000" w:themeColor="text1"/>
              </w:rPr>
              <w:t xml:space="preserve"> and piecework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5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6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2 years</w:t>
            </w:r>
          </w:p>
        </w:tc>
      </w:tr>
      <w:tr w:rsidR="004628BB" w14:paraId="5B39DB6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6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Details of benefits in kind</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6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6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w:t>
            </w:r>
          </w:p>
        </w:tc>
      </w:tr>
      <w:tr w:rsidR="004628BB" w14:paraId="5B39DB6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6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Income tax records (P45/P60/P58/P48 etc.)</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6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6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12 </w:t>
            </w:r>
            <w:r>
              <w:rPr>
                <w:rFonts w:asciiTheme="minorHAnsi" w:hAnsiTheme="minorHAnsi" w:cstheme="minorHAnsi"/>
                <w:color w:val="000000" w:themeColor="text1"/>
              </w:rPr>
              <w:t>years</w:t>
            </w:r>
          </w:p>
        </w:tc>
      </w:tr>
      <w:tr w:rsidR="004628BB" w14:paraId="5B39DB6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6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Annual return of taxable pay and tax paid</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6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6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w:t>
            </w:r>
          </w:p>
        </w:tc>
      </w:tr>
      <w:tr w:rsidR="004628BB" w14:paraId="5B39DB7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6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Labour agreements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6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7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10 years after ceasing to be</w:t>
            </w:r>
            <w:r>
              <w:rPr>
                <w:rFonts w:asciiTheme="minorHAnsi" w:hAnsiTheme="minorHAnsi" w:cstheme="minorHAnsi"/>
                <w:color w:val="000000" w:themeColor="text1"/>
              </w:rPr>
              <w:br/>
              <w:t>effective</w:t>
            </w:r>
          </w:p>
        </w:tc>
      </w:tr>
      <w:tr w:rsidR="004628BB" w14:paraId="5B39DB7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7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Works council minutes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7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7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7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7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Employee records </w:t>
            </w:r>
            <w:proofErr w:type="spellStart"/>
            <w:r>
              <w:rPr>
                <w:rFonts w:asciiTheme="minorHAnsi" w:hAnsiTheme="minorHAnsi" w:cstheme="minorHAnsi"/>
                <w:color w:val="000000" w:themeColor="text1"/>
              </w:rPr>
              <w:t>fro</w:t>
            </w:r>
            <w:proofErr w:type="spellEnd"/>
            <w:r>
              <w:rPr>
                <w:rFonts w:asciiTheme="minorHAnsi" w:hAnsiTheme="minorHAnsi" w:cstheme="minorHAnsi"/>
                <w:color w:val="000000" w:themeColor="text1"/>
              </w:rPr>
              <w:t xml:space="preserve"> closed units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7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Some 6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7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w:t>
            </w:r>
          </w:p>
        </w:tc>
      </w:tr>
      <w:tr w:rsidR="004628BB" w14:paraId="5B39DB7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7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7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7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B8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7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Material With </w:t>
            </w:r>
            <w:r>
              <w:rPr>
                <w:rFonts w:asciiTheme="minorHAnsi" w:hAnsiTheme="minorHAnsi" w:cstheme="minorHAnsi"/>
                <w:b/>
                <w:bCs/>
                <w:color w:val="000000" w:themeColor="text1"/>
              </w:rPr>
              <w:t>Copyright Protection</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7F"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8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B8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8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Literary, </w:t>
            </w:r>
            <w:proofErr w:type="gramStart"/>
            <w:r>
              <w:rPr>
                <w:rFonts w:asciiTheme="minorHAnsi" w:hAnsiTheme="minorHAnsi" w:cstheme="minorHAnsi"/>
                <w:color w:val="000000" w:themeColor="text1"/>
              </w:rPr>
              <w:t>dramatic</w:t>
            </w:r>
            <w:proofErr w:type="gramEnd"/>
            <w:r>
              <w:rPr>
                <w:rFonts w:asciiTheme="minorHAnsi" w:hAnsiTheme="minorHAnsi" w:cstheme="minorHAnsi"/>
                <w:color w:val="000000" w:themeColor="text1"/>
              </w:rPr>
              <w:t xml:space="preserve"> and musical works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8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8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Life plus 50 years</w:t>
            </w:r>
          </w:p>
        </w:tc>
      </w:tr>
      <w:tr w:rsidR="004628BB" w14:paraId="5B39DB8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8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Artistic works, recordings, films, </w:t>
            </w:r>
            <w:proofErr w:type="gramStart"/>
            <w:r>
              <w:rPr>
                <w:rFonts w:asciiTheme="minorHAnsi" w:hAnsiTheme="minorHAnsi" w:cstheme="minorHAnsi"/>
                <w:color w:val="000000" w:themeColor="text1"/>
              </w:rPr>
              <w:t>photos</w:t>
            </w:r>
            <w:proofErr w:type="gramEnd"/>
            <w:r>
              <w:rPr>
                <w:rFonts w:asciiTheme="minorHAnsi" w:hAnsiTheme="minorHAnsi" w:cstheme="minorHAnsi"/>
                <w:color w:val="000000" w:themeColor="text1"/>
              </w:rPr>
              <w:t xml:space="preserve"> and broadcasts.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8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8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50 years</w:t>
            </w:r>
          </w:p>
        </w:tc>
      </w:tr>
      <w:tr w:rsidR="004628BB" w14:paraId="5B39DB8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8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8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8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B9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8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Pension Scheme </w:t>
            </w:r>
            <w:proofErr w:type="gramStart"/>
            <w:r>
              <w:rPr>
                <w:rFonts w:asciiTheme="minorHAnsi" w:hAnsiTheme="minorHAnsi" w:cstheme="minorHAnsi"/>
                <w:b/>
                <w:bCs/>
                <w:color w:val="000000" w:themeColor="text1"/>
              </w:rPr>
              <w:t>Documents(</w:t>
            </w:r>
            <w:proofErr w:type="gramEnd"/>
            <w:r>
              <w:rPr>
                <w:rFonts w:asciiTheme="minorHAnsi" w:hAnsiTheme="minorHAnsi" w:cstheme="minorHAnsi"/>
                <w:b/>
                <w:bCs/>
                <w:color w:val="000000" w:themeColor="text1"/>
              </w:rPr>
              <w:t>unapproved schemes)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8F"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9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B9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9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Trust deeds and scheme rules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9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9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9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9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Trustees’ minute books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9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9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9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9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lastRenderedPageBreak/>
              <w:t>Record of pensioners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9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9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 after cessation of benefit</w:t>
            </w:r>
          </w:p>
        </w:tc>
      </w:tr>
      <w:tr w:rsidR="004628BB" w14:paraId="5B39DBA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9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Money purchase details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9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A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transfer or value taken</w:t>
            </w:r>
          </w:p>
        </w:tc>
      </w:tr>
      <w:tr w:rsidR="004628BB" w14:paraId="5B39DBA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A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Pension scheme investment policies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A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A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 after transfer or value taken</w:t>
            </w:r>
          </w:p>
        </w:tc>
      </w:tr>
      <w:tr w:rsidR="004628BB" w14:paraId="5B39DBA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A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A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A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BA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A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Pension Scheme </w:t>
            </w:r>
            <w:proofErr w:type="gramStart"/>
            <w:r>
              <w:rPr>
                <w:rFonts w:asciiTheme="minorHAnsi" w:hAnsiTheme="minorHAnsi" w:cstheme="minorHAnsi"/>
                <w:b/>
                <w:bCs/>
                <w:color w:val="000000" w:themeColor="text1"/>
              </w:rPr>
              <w:t>Documents(</w:t>
            </w:r>
            <w:proofErr w:type="gramEnd"/>
            <w:r>
              <w:rPr>
                <w:rFonts w:asciiTheme="minorHAnsi" w:hAnsiTheme="minorHAnsi" w:cstheme="minorHAnsi"/>
                <w:b/>
                <w:bCs/>
                <w:color w:val="000000" w:themeColor="text1"/>
              </w:rPr>
              <w:t>inland revenue approved and statutory pension schemes)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AB"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Statutory </w:t>
            </w:r>
            <w:r>
              <w:rPr>
                <w:rFonts w:asciiTheme="minorHAnsi" w:hAnsiTheme="minorHAnsi" w:cstheme="minorHAnsi"/>
                <w:b/>
                <w:bCs/>
                <w:color w:val="000000" w:themeColor="text1"/>
              </w:rPr>
              <w:t>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A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BB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A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Pension fund accounts and supporting documents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A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from date of accounts signed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B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B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B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Actuarial valuation reports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B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from date of report signed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B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B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B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Inland revenue </w:t>
            </w:r>
            <w:r>
              <w:rPr>
                <w:rFonts w:asciiTheme="minorHAnsi" w:hAnsiTheme="minorHAnsi" w:cstheme="minorHAnsi"/>
                <w:color w:val="000000" w:themeColor="text1"/>
              </w:rPr>
              <w:t>approvals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B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B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B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B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Medical records – Radiation accident assessment</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B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50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B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C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B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Medical records – Radiation dosage summary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B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2 years from end of</w:t>
            </w:r>
            <w:r>
              <w:rPr>
                <w:rFonts w:asciiTheme="minorHAnsi" w:hAnsiTheme="minorHAnsi" w:cstheme="minorHAnsi"/>
                <w:color w:val="000000" w:themeColor="text1"/>
              </w:rPr>
              <w:br/>
              <w:t>calendar year</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C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C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C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Under control of Lead at Work Regulations 1998</w:t>
            </w:r>
            <w:r>
              <w:rPr>
                <w:rFonts w:asciiTheme="minorHAnsi" w:hAnsiTheme="minorHAnsi" w:cstheme="minorHAnsi"/>
                <w:color w:val="000000" w:themeColor="text1"/>
              </w:rPr>
              <w:br/>
              <w:t xml:space="preserve">(replaced 1980 </w:t>
            </w:r>
            <w:r>
              <w:rPr>
                <w:rFonts w:asciiTheme="minorHAnsi" w:hAnsiTheme="minorHAnsi" w:cstheme="minorHAnsi"/>
                <w:color w:val="000000" w:themeColor="text1"/>
              </w:rPr>
              <w:t>regulations)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C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2 years from date of</w:t>
            </w:r>
            <w:r>
              <w:rPr>
                <w:rFonts w:asciiTheme="minorHAnsi" w:hAnsiTheme="minorHAnsi" w:cstheme="minorHAnsi"/>
                <w:color w:val="000000" w:themeColor="text1"/>
              </w:rPr>
              <w:br/>
              <w:t>last entry to be effective</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C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C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C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Under Control of Asbestos a Work Regulations 1987</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C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40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C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C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C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Under Control of Substances Hazardous to Health</w:t>
            </w:r>
            <w:r>
              <w:rPr>
                <w:rFonts w:asciiTheme="minorHAnsi" w:hAnsiTheme="minorHAnsi" w:cstheme="minorHAnsi"/>
                <w:color w:val="000000" w:themeColor="text1"/>
              </w:rPr>
              <w:br/>
              <w:t>regulations 1994 9COSHH Regulations)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C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40 years</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C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w:t>
            </w:r>
          </w:p>
        </w:tc>
      </w:tr>
      <w:tr w:rsidR="004628BB" w14:paraId="5B39DBD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C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C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D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BE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D2" w14:textId="77777777" w:rsidR="004628BB" w:rsidRDefault="004628BB">
            <w:pPr>
              <w:spacing w:line="240" w:lineRule="atLeast"/>
              <w:rPr>
                <w:rFonts w:asciiTheme="minorHAnsi" w:hAnsiTheme="minorHAnsi" w:cstheme="minorHAnsi"/>
                <w:b/>
                <w:color w:val="000000" w:themeColor="text1"/>
              </w:rPr>
            </w:pPr>
          </w:p>
          <w:p w14:paraId="5B39DBD3" w14:textId="77777777" w:rsidR="004628BB" w:rsidRDefault="004628BB">
            <w:pPr>
              <w:spacing w:line="240" w:lineRule="atLeast"/>
              <w:rPr>
                <w:rFonts w:asciiTheme="minorHAnsi" w:hAnsiTheme="minorHAnsi" w:cstheme="minorHAnsi"/>
                <w:b/>
                <w:color w:val="000000" w:themeColor="text1"/>
              </w:rPr>
            </w:pPr>
          </w:p>
          <w:p w14:paraId="5B39DBD4" w14:textId="77777777" w:rsidR="004628BB" w:rsidRDefault="004628BB">
            <w:pPr>
              <w:spacing w:line="240" w:lineRule="atLeast"/>
              <w:rPr>
                <w:rFonts w:asciiTheme="minorHAnsi" w:hAnsiTheme="minorHAnsi" w:cstheme="minorHAnsi"/>
                <w:b/>
                <w:color w:val="000000" w:themeColor="text1"/>
              </w:rPr>
            </w:pPr>
          </w:p>
          <w:p w14:paraId="5B39DBD5" w14:textId="77777777" w:rsidR="004628BB" w:rsidRDefault="004628BB">
            <w:pPr>
              <w:spacing w:line="240" w:lineRule="atLeast"/>
              <w:rPr>
                <w:rFonts w:asciiTheme="minorHAnsi" w:hAnsiTheme="minorHAnsi" w:cstheme="minorHAnsi"/>
                <w:b/>
                <w:color w:val="000000" w:themeColor="text1"/>
              </w:rPr>
            </w:pPr>
          </w:p>
          <w:p w14:paraId="5B39DBD6" w14:textId="77777777" w:rsidR="004628BB" w:rsidRDefault="004628BB">
            <w:pPr>
              <w:spacing w:line="240" w:lineRule="atLeast"/>
              <w:rPr>
                <w:rFonts w:asciiTheme="minorHAnsi" w:hAnsiTheme="minorHAnsi" w:cstheme="minorHAnsi"/>
                <w:b/>
                <w:color w:val="000000" w:themeColor="text1"/>
              </w:rPr>
            </w:pPr>
          </w:p>
          <w:p w14:paraId="5B39DBD7" w14:textId="77777777" w:rsidR="004628BB" w:rsidRDefault="004628BB">
            <w:pPr>
              <w:spacing w:line="240" w:lineRule="atLeast"/>
              <w:rPr>
                <w:rFonts w:asciiTheme="minorHAnsi" w:hAnsiTheme="minorHAnsi" w:cstheme="minorHAnsi"/>
                <w:b/>
                <w:color w:val="000000" w:themeColor="text1"/>
              </w:rPr>
            </w:pPr>
          </w:p>
          <w:p w14:paraId="5B39DBD8" w14:textId="77777777" w:rsidR="004628BB" w:rsidRDefault="002C5754">
            <w:pPr>
              <w:spacing w:line="240" w:lineRule="atLeast"/>
              <w:rPr>
                <w:rFonts w:asciiTheme="minorHAnsi" w:hAnsiTheme="minorHAnsi" w:cstheme="minorHAnsi"/>
                <w:b/>
                <w:color w:val="000000" w:themeColor="text1"/>
              </w:rPr>
            </w:pPr>
            <w:r>
              <w:rPr>
                <w:rFonts w:asciiTheme="minorHAnsi" w:hAnsiTheme="minorHAnsi" w:cstheme="minorHAnsi"/>
                <w:b/>
                <w:color w:val="000000" w:themeColor="text1"/>
              </w:rPr>
              <w:t>Intellectual Property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D9" w14:textId="77777777" w:rsidR="004628BB" w:rsidRDefault="002C5754">
            <w:pPr>
              <w:spacing w:after="270" w:line="240" w:lineRule="atLeast"/>
              <w:rPr>
                <w:rFonts w:asciiTheme="minorHAnsi" w:hAnsiTheme="minorHAnsi" w:cstheme="minorHAnsi"/>
                <w:b/>
                <w:bCs/>
                <w:color w:val="000000" w:themeColor="text1"/>
              </w:rPr>
            </w:pPr>
            <w:r>
              <w:rPr>
                <w:rFonts w:asciiTheme="minorHAnsi" w:hAnsiTheme="minorHAnsi" w:cstheme="minorHAnsi"/>
                <w:b/>
                <w:bCs/>
                <w:color w:val="000000" w:themeColor="text1"/>
              </w:rPr>
              <w:t> </w:t>
            </w:r>
          </w:p>
          <w:p w14:paraId="5B39DBDA" w14:textId="77777777" w:rsidR="004628BB" w:rsidRDefault="004628BB">
            <w:pPr>
              <w:spacing w:after="270" w:line="240" w:lineRule="atLeast"/>
              <w:rPr>
                <w:rFonts w:asciiTheme="minorHAnsi" w:hAnsiTheme="minorHAnsi" w:cstheme="minorHAnsi"/>
                <w:b/>
                <w:bCs/>
                <w:color w:val="000000" w:themeColor="text1"/>
              </w:rPr>
            </w:pPr>
          </w:p>
          <w:p w14:paraId="5B39DBDB" w14:textId="77777777" w:rsidR="004628BB" w:rsidRDefault="004628BB">
            <w:pPr>
              <w:spacing w:after="270" w:line="240" w:lineRule="atLeast"/>
              <w:rPr>
                <w:rFonts w:asciiTheme="minorHAnsi" w:hAnsiTheme="minorHAnsi" w:cstheme="minorHAnsi"/>
                <w:b/>
                <w:bCs/>
                <w:color w:val="000000" w:themeColor="text1"/>
              </w:rPr>
            </w:pPr>
          </w:p>
          <w:p w14:paraId="5B39DBDC"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DD" w14:textId="77777777" w:rsidR="004628BB" w:rsidRDefault="002C5754">
            <w:pPr>
              <w:spacing w:after="270" w:line="240" w:lineRule="atLeast"/>
              <w:rPr>
                <w:rFonts w:asciiTheme="minorHAnsi" w:hAnsiTheme="minorHAnsi" w:cstheme="minorHAnsi"/>
                <w:b/>
                <w:bCs/>
                <w:color w:val="000000" w:themeColor="text1"/>
              </w:rPr>
            </w:pPr>
            <w:r>
              <w:rPr>
                <w:rFonts w:asciiTheme="minorHAnsi" w:hAnsiTheme="minorHAnsi" w:cstheme="minorHAnsi"/>
                <w:b/>
                <w:bCs/>
                <w:color w:val="000000" w:themeColor="text1"/>
              </w:rPr>
              <w:t> </w:t>
            </w:r>
          </w:p>
          <w:p w14:paraId="5B39DBDE" w14:textId="77777777" w:rsidR="004628BB" w:rsidRDefault="004628BB">
            <w:pPr>
              <w:spacing w:after="270" w:line="240" w:lineRule="atLeast"/>
              <w:rPr>
                <w:rFonts w:asciiTheme="minorHAnsi" w:hAnsiTheme="minorHAnsi" w:cstheme="minorHAnsi"/>
                <w:b/>
                <w:bCs/>
                <w:color w:val="000000" w:themeColor="text1"/>
              </w:rPr>
            </w:pPr>
          </w:p>
          <w:p w14:paraId="5B39DBDF" w14:textId="77777777" w:rsidR="004628BB" w:rsidRDefault="004628BB">
            <w:pPr>
              <w:spacing w:after="270" w:line="240" w:lineRule="atLeast"/>
              <w:rPr>
                <w:rFonts w:asciiTheme="minorHAnsi" w:hAnsiTheme="minorHAnsi" w:cstheme="minorHAnsi"/>
                <w:b/>
                <w:bCs/>
                <w:color w:val="000000" w:themeColor="text1"/>
              </w:rPr>
            </w:pPr>
          </w:p>
          <w:p w14:paraId="5B39DBE0"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BE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E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lastRenderedPageBreak/>
              <w:t>Certificates of registration of trade/service marks (current and lapsed)</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E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E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 or 6 years</w:t>
            </w:r>
            <w:r>
              <w:rPr>
                <w:rFonts w:asciiTheme="minorHAnsi" w:hAnsiTheme="minorHAnsi" w:cstheme="minorHAnsi"/>
                <w:color w:val="000000" w:themeColor="text1"/>
              </w:rPr>
              <w:br/>
              <w:t xml:space="preserve">after cessation of </w:t>
            </w:r>
            <w:r>
              <w:rPr>
                <w:rFonts w:asciiTheme="minorHAnsi" w:hAnsiTheme="minorHAnsi" w:cstheme="minorHAnsi"/>
                <w:color w:val="000000" w:themeColor="text1"/>
              </w:rPr>
              <w:t>registration</w:t>
            </w:r>
          </w:p>
        </w:tc>
      </w:tr>
      <w:tr w:rsidR="004628BB" w14:paraId="5B39DBE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E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Documents evidencing assignment of trade/service marks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E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E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cessation of</w:t>
            </w:r>
            <w:r>
              <w:rPr>
                <w:rFonts w:asciiTheme="minorHAnsi" w:hAnsiTheme="minorHAnsi" w:cstheme="minorHAnsi"/>
                <w:color w:val="000000" w:themeColor="text1"/>
              </w:rPr>
              <w:br/>
              <w:t>registration</w:t>
            </w:r>
          </w:p>
        </w:tc>
      </w:tr>
      <w:tr w:rsidR="004628BB" w14:paraId="5B39DBE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E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Intellectual property agreements and licences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E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E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after expiry</w:t>
            </w:r>
          </w:p>
        </w:tc>
      </w:tr>
      <w:tr w:rsidR="004628BB" w14:paraId="5B39DBF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E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E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F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BF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F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Property Documents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F3"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Statutory Minimum Retention Period</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F4" w14:textId="77777777" w:rsidR="004628BB" w:rsidRDefault="002C5754">
            <w:pPr>
              <w:spacing w:after="270" w:line="240" w:lineRule="atLeast"/>
              <w:rPr>
                <w:rFonts w:asciiTheme="minorHAnsi" w:hAnsiTheme="minorHAnsi" w:cstheme="minorHAnsi"/>
                <w:color w:val="000000" w:themeColor="text1"/>
              </w:rPr>
            </w:pPr>
            <w:r>
              <w:rPr>
                <w:rFonts w:asciiTheme="minorHAnsi" w:hAnsiTheme="minorHAnsi" w:cstheme="minorHAnsi"/>
                <w:b/>
                <w:bCs/>
                <w:color w:val="000000" w:themeColor="text1"/>
              </w:rPr>
              <w:t xml:space="preserve"> Recommended Period </w:t>
            </w:r>
            <w:proofErr w:type="gramStart"/>
            <w:r>
              <w:rPr>
                <w:rFonts w:asciiTheme="minorHAnsi" w:hAnsiTheme="minorHAnsi" w:cstheme="minorHAnsi"/>
                <w:b/>
                <w:bCs/>
                <w:color w:val="000000" w:themeColor="text1"/>
              </w:rPr>
              <w:t>Of</w:t>
            </w:r>
            <w:proofErr w:type="gramEnd"/>
            <w:r>
              <w:rPr>
                <w:rFonts w:asciiTheme="minorHAnsi" w:hAnsiTheme="minorHAnsi" w:cstheme="minorHAnsi"/>
                <w:b/>
                <w:bCs/>
                <w:color w:val="000000" w:themeColor="text1"/>
              </w:rPr>
              <w:t xml:space="preserve"> Retention</w:t>
            </w:r>
          </w:p>
        </w:tc>
      </w:tr>
      <w:tr w:rsidR="004628BB" w14:paraId="5B39DBF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F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Title deeds for property</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F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F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Permanently or until sold or transferred</w:t>
            </w:r>
          </w:p>
        </w:tc>
      </w:tr>
      <w:tr w:rsidR="004628BB" w14:paraId="5B39DBF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F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Leases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BF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N/A</w:t>
            </w:r>
          </w:p>
        </w:tc>
        <w:tc>
          <w:tcPr>
            <w:tcW w:w="2120" w:type="dxa"/>
            <w:tcBorders>
              <w:top w:val="nil"/>
              <w:left w:val="nil"/>
              <w:bottom w:val="nil"/>
              <w:right w:val="nil"/>
            </w:tcBorders>
            <w:shd w:val="clear" w:color="auto" w:fill="FFFFFF"/>
            <w:tcMar>
              <w:top w:w="60" w:type="dxa"/>
              <w:left w:w="0" w:type="dxa"/>
              <w:bottom w:w="60" w:type="dxa"/>
              <w:right w:w="0" w:type="dxa"/>
            </w:tcMar>
          </w:tcPr>
          <w:p w14:paraId="5B39DBF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 after lease and liabilities</w:t>
            </w:r>
            <w:r>
              <w:rPr>
                <w:rFonts w:asciiTheme="minorHAnsi" w:hAnsiTheme="minorHAnsi" w:cstheme="minorHAnsi"/>
                <w:color w:val="000000" w:themeColor="text1"/>
              </w:rPr>
              <w:br/>
              <w:t>under the lease have terminated</w:t>
            </w:r>
          </w:p>
        </w:tc>
      </w:tr>
      <w:tr w:rsidR="004628BB" w14:paraId="5B39DC0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BFE" w14:textId="77777777" w:rsidR="004628BB" w:rsidRDefault="004628BB">
            <w:pPr>
              <w:spacing w:line="240" w:lineRule="atLeast"/>
              <w:rPr>
                <w:rFonts w:asciiTheme="minorHAnsi" w:hAnsiTheme="minorHAnsi" w:cstheme="minorHAnsi"/>
                <w:color w:val="000000" w:themeColor="text1"/>
              </w:rPr>
            </w:pPr>
          </w:p>
        </w:tc>
        <w:tc>
          <w:tcPr>
            <w:tcW w:w="2363" w:type="dxa"/>
            <w:tcBorders>
              <w:top w:val="nil"/>
              <w:left w:val="nil"/>
              <w:bottom w:val="nil"/>
              <w:right w:val="nil"/>
            </w:tcBorders>
            <w:shd w:val="clear" w:color="auto" w:fill="FFFFFF"/>
            <w:tcMar>
              <w:top w:w="60" w:type="dxa"/>
              <w:left w:w="0" w:type="dxa"/>
              <w:bottom w:w="60" w:type="dxa"/>
              <w:right w:w="0" w:type="dxa"/>
            </w:tcMar>
          </w:tcPr>
          <w:p w14:paraId="5B39DBF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0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C0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0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b/>
                <w:bCs/>
                <w:color w:val="000000" w:themeColor="text1"/>
              </w:rPr>
              <w:t>Other Records</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0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0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r>
      <w:tr w:rsidR="004628BB" w14:paraId="5B39DC0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0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Diaries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0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0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 Years</w:t>
            </w:r>
          </w:p>
        </w:tc>
      </w:tr>
      <w:tr w:rsidR="004628BB" w14:paraId="5B39DC0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0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Board Meeting </w:t>
            </w:r>
            <w:r>
              <w:rPr>
                <w:rFonts w:asciiTheme="minorHAnsi" w:hAnsiTheme="minorHAnsi" w:cstheme="minorHAnsi"/>
                <w:color w:val="000000" w:themeColor="text1"/>
              </w:rPr>
              <w:t>Reports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0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0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30 Years</w:t>
            </w:r>
          </w:p>
        </w:tc>
      </w:tr>
      <w:tr w:rsidR="004628BB" w14:paraId="5B39DC1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0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Business Plans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0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1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20 Years</w:t>
            </w:r>
          </w:p>
        </w:tc>
      </w:tr>
      <w:tr w:rsidR="004628BB" w14:paraId="5B39DC1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1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Commissioning Decisions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1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1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 from date of appeal decision</w:t>
            </w:r>
          </w:p>
        </w:tc>
      </w:tr>
      <w:tr w:rsidR="004628BB" w14:paraId="5B39DC1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1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Complaints Correspondence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1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1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10 Years</w:t>
            </w:r>
          </w:p>
        </w:tc>
      </w:tr>
      <w:tr w:rsidR="004628BB" w14:paraId="5B39DC1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1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Health &amp; Safety Documents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1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1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 Years</w:t>
            </w:r>
          </w:p>
        </w:tc>
      </w:tr>
      <w:tr w:rsidR="004628BB" w14:paraId="5B39DC2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1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Incident Forms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1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2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8 Years</w:t>
            </w:r>
          </w:p>
        </w:tc>
      </w:tr>
      <w:tr w:rsidR="004628BB" w14:paraId="5B39DC2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2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Manuals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2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2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10 Years</w:t>
            </w:r>
          </w:p>
        </w:tc>
      </w:tr>
      <w:tr w:rsidR="004628BB" w14:paraId="5B39DC2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2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Meetings &amp; </w:t>
            </w:r>
            <w:r>
              <w:rPr>
                <w:rFonts w:asciiTheme="minorHAnsi" w:hAnsiTheme="minorHAnsi" w:cstheme="minorHAnsi"/>
                <w:color w:val="000000" w:themeColor="text1"/>
              </w:rPr>
              <w:t>Minutes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2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2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30 Years</w:t>
            </w:r>
          </w:p>
        </w:tc>
      </w:tr>
      <w:tr w:rsidR="004628BB" w14:paraId="5B39DC2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2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Minor Paperwork (</w:t>
            </w:r>
            <w:proofErr w:type="gramStart"/>
            <w:r>
              <w:rPr>
                <w:rFonts w:asciiTheme="minorHAnsi" w:hAnsiTheme="minorHAnsi" w:cstheme="minorHAnsi"/>
                <w:color w:val="000000" w:themeColor="text1"/>
              </w:rPr>
              <w:t>reminders ,</w:t>
            </w:r>
            <w:proofErr w:type="gramEnd"/>
            <w:r>
              <w:rPr>
                <w:rFonts w:asciiTheme="minorHAnsi" w:hAnsiTheme="minorHAnsi" w:cstheme="minorHAnsi"/>
                <w:color w:val="000000" w:themeColor="text1"/>
              </w:rPr>
              <w:t xml:space="preserve"> advertising etc)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2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2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2 Years</w:t>
            </w:r>
          </w:p>
        </w:tc>
      </w:tr>
      <w:tr w:rsidR="004628BB" w14:paraId="5B39DC3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2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Quality Assurance Records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2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3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12 Years</w:t>
            </w:r>
          </w:p>
        </w:tc>
      </w:tr>
      <w:tr w:rsidR="004628BB" w14:paraId="5B39DC3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3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Reports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3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3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30 Years</w:t>
            </w:r>
          </w:p>
        </w:tc>
      </w:tr>
      <w:tr w:rsidR="004628BB" w14:paraId="5B39DC3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3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Incident Files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3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3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30 Years</w:t>
            </w:r>
          </w:p>
        </w:tc>
      </w:tr>
      <w:tr w:rsidR="004628BB" w14:paraId="5B39DC3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3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Time Sheets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3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3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 Years</w:t>
            </w:r>
          </w:p>
        </w:tc>
      </w:tr>
      <w:tr w:rsidR="004628BB" w14:paraId="5B39DC41"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3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lastRenderedPageBreak/>
              <w:t>Annual Accounts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3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4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30 Years</w:t>
            </w:r>
          </w:p>
        </w:tc>
      </w:tr>
      <w:tr w:rsidR="004628BB" w14:paraId="5B39DC45"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42"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xml:space="preserve">Accounts – Minor Records (cash </w:t>
            </w:r>
            <w:r>
              <w:rPr>
                <w:rFonts w:asciiTheme="minorHAnsi" w:hAnsiTheme="minorHAnsi" w:cstheme="minorHAnsi"/>
                <w:color w:val="000000" w:themeColor="text1"/>
              </w:rPr>
              <w:t>books etc)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43"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44"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2 Years</w:t>
            </w:r>
          </w:p>
        </w:tc>
      </w:tr>
      <w:tr w:rsidR="004628BB" w14:paraId="5B39DC49"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46"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Financial Contracts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47"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48"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15 Years</w:t>
            </w:r>
          </w:p>
        </w:tc>
      </w:tr>
      <w:tr w:rsidR="004628BB" w14:paraId="5B39DC4D"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4A"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Bacs Payments, Fraud Investigations, Invoices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4B"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4C"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w:t>
            </w:r>
          </w:p>
        </w:tc>
      </w:tr>
      <w:tr w:rsidR="004628BB" w14:paraId="5B39DC53" w14:textId="77777777">
        <w:tc>
          <w:tcPr>
            <w:tcW w:w="3404" w:type="dxa"/>
            <w:tcBorders>
              <w:top w:val="nil"/>
              <w:left w:val="nil"/>
              <w:bottom w:val="nil"/>
              <w:right w:val="nil"/>
            </w:tcBorders>
            <w:shd w:val="clear" w:color="auto" w:fill="FFFFFF"/>
            <w:tcMar>
              <w:top w:w="60" w:type="dxa"/>
              <w:left w:w="0" w:type="dxa"/>
              <w:bottom w:w="60" w:type="dxa"/>
              <w:right w:w="0" w:type="dxa"/>
            </w:tcMar>
          </w:tcPr>
          <w:p w14:paraId="5B39DC4E"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Personnel Records </w:t>
            </w:r>
          </w:p>
        </w:tc>
        <w:tc>
          <w:tcPr>
            <w:tcW w:w="2363" w:type="dxa"/>
            <w:tcBorders>
              <w:top w:val="nil"/>
              <w:left w:val="nil"/>
              <w:bottom w:val="nil"/>
              <w:right w:val="nil"/>
            </w:tcBorders>
            <w:shd w:val="clear" w:color="auto" w:fill="FFFFFF"/>
            <w:tcMar>
              <w:top w:w="60" w:type="dxa"/>
              <w:left w:w="0" w:type="dxa"/>
              <w:bottom w:w="60" w:type="dxa"/>
              <w:right w:w="0" w:type="dxa"/>
            </w:tcMar>
          </w:tcPr>
          <w:p w14:paraId="5B39DC4F"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 </w:t>
            </w:r>
          </w:p>
        </w:tc>
        <w:tc>
          <w:tcPr>
            <w:tcW w:w="2120" w:type="dxa"/>
            <w:tcBorders>
              <w:top w:val="nil"/>
              <w:left w:val="nil"/>
              <w:bottom w:val="nil"/>
              <w:right w:val="nil"/>
            </w:tcBorders>
            <w:shd w:val="clear" w:color="auto" w:fill="FFFFFF"/>
            <w:tcMar>
              <w:top w:w="60" w:type="dxa"/>
              <w:left w:w="0" w:type="dxa"/>
              <w:bottom w:w="60" w:type="dxa"/>
              <w:right w:w="0" w:type="dxa"/>
            </w:tcMar>
          </w:tcPr>
          <w:p w14:paraId="5B39DC50" w14:textId="77777777" w:rsidR="004628BB" w:rsidRDefault="002C5754">
            <w:pPr>
              <w:spacing w:line="240" w:lineRule="atLeast"/>
              <w:rPr>
                <w:rFonts w:asciiTheme="minorHAnsi" w:hAnsiTheme="minorHAnsi" w:cstheme="minorHAnsi"/>
                <w:color w:val="000000" w:themeColor="text1"/>
              </w:rPr>
            </w:pPr>
            <w:r>
              <w:rPr>
                <w:rFonts w:asciiTheme="minorHAnsi" w:hAnsiTheme="minorHAnsi" w:cstheme="minorHAnsi"/>
                <w:color w:val="000000" w:themeColor="text1"/>
              </w:rPr>
              <w:t>6 Years</w:t>
            </w:r>
          </w:p>
          <w:p w14:paraId="5B39DC51" w14:textId="77777777" w:rsidR="004628BB" w:rsidRDefault="004628BB">
            <w:pPr>
              <w:spacing w:line="240" w:lineRule="atLeast"/>
              <w:rPr>
                <w:rFonts w:asciiTheme="minorHAnsi" w:hAnsiTheme="minorHAnsi" w:cstheme="minorHAnsi"/>
                <w:color w:val="000000" w:themeColor="text1"/>
              </w:rPr>
            </w:pPr>
          </w:p>
          <w:p w14:paraId="5B39DC52" w14:textId="77777777" w:rsidR="004628BB" w:rsidRDefault="004628BB">
            <w:pPr>
              <w:spacing w:line="240" w:lineRule="atLeast"/>
              <w:jc w:val="both"/>
              <w:rPr>
                <w:rFonts w:asciiTheme="minorHAnsi" w:hAnsiTheme="minorHAnsi" w:cstheme="minorHAnsi"/>
                <w:color w:val="000000" w:themeColor="text1"/>
              </w:rPr>
            </w:pPr>
          </w:p>
        </w:tc>
      </w:tr>
    </w:tbl>
    <w:p w14:paraId="5B39DC54" w14:textId="77777777" w:rsidR="004628BB" w:rsidRDefault="002C5754">
      <w:pPr>
        <w:pStyle w:val="NormalWeb"/>
        <w:spacing w:before="0" w:beforeAutospacing="0" w:after="240" w:afterAutospacing="0"/>
        <w:rPr>
          <w:rFonts w:asciiTheme="minorHAnsi" w:hAnsiTheme="minorHAnsi" w:cstheme="minorHAnsi"/>
          <w:b/>
          <w:bCs/>
          <w:color w:val="000000" w:themeColor="text1"/>
        </w:rPr>
      </w:pPr>
      <w:r>
        <w:rPr>
          <w:rFonts w:asciiTheme="minorHAnsi" w:hAnsiTheme="minorHAnsi" w:cstheme="minorHAnsi"/>
          <w:b/>
          <w:bCs/>
          <w:color w:val="000000" w:themeColor="text1"/>
        </w:rPr>
        <w:t>D. Greater London Authority (GLA) contractual requirements:</w:t>
      </w:r>
    </w:p>
    <w:p w14:paraId="5B39DC55" w14:textId="77777777" w:rsidR="004628BB" w:rsidRDefault="002C5754">
      <w:pPr>
        <w:pStyle w:val="NormalWeb"/>
        <w:spacing w:before="0" w:beforeAutospacing="0" w:after="24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Strive Training is contractually required to </w:t>
      </w:r>
      <w:r>
        <w:rPr>
          <w:rFonts w:asciiTheme="minorHAnsi" w:hAnsiTheme="minorHAnsi" w:cstheme="minorHAnsi"/>
          <w:color w:val="000000" w:themeColor="text1"/>
        </w:rPr>
        <w:t>retain all documents necessary to verify its Services provided to the GLA. Documents to support claims will be retained for a minimum of 3 years after the European Commission has made its final payment. This is expected to be until at least 31 December 2030.</w:t>
      </w:r>
    </w:p>
    <w:p w14:paraId="5B39DC56" w14:textId="77777777" w:rsidR="004628BB" w:rsidRDefault="002C5754">
      <w:pPr>
        <w:pStyle w:val="NormalWeb"/>
        <w:spacing w:before="0" w:beforeAutospacing="0" w:after="24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Documents are stored in line with the </w:t>
      </w:r>
      <w:r>
        <w:rPr>
          <w:rFonts w:asciiTheme="minorHAnsi" w:hAnsiTheme="minorHAnsi" w:cstheme="minorHAnsi"/>
          <w:i/>
          <w:iCs/>
          <w:color w:val="000000" w:themeColor="text1"/>
        </w:rPr>
        <w:t>England European Social Fund Operational Programme 2014-20 Guidance: Guidance on document retention, including electronic data exchange, for 2014-20 ESF projects.</w:t>
      </w:r>
    </w:p>
    <w:p w14:paraId="5B39DC57" w14:textId="77777777" w:rsidR="004628BB" w:rsidRDefault="002C5754">
      <w:pPr>
        <w:pStyle w:val="NormalWeb"/>
        <w:spacing w:before="0" w:beforeAutospacing="0" w:after="24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Where learner data is used by the GLA as match on </w:t>
      </w:r>
      <w:r>
        <w:rPr>
          <w:rFonts w:asciiTheme="minorHAnsi" w:hAnsiTheme="minorHAnsi" w:cstheme="minorHAnsi"/>
          <w:color w:val="000000" w:themeColor="text1"/>
        </w:rPr>
        <w:t xml:space="preserve">the </w:t>
      </w:r>
      <w:proofErr w:type="gramStart"/>
      <w:r>
        <w:rPr>
          <w:rFonts w:asciiTheme="minorHAnsi" w:hAnsiTheme="minorHAnsi" w:cstheme="minorHAnsi"/>
          <w:color w:val="000000" w:themeColor="text1"/>
        </w:rPr>
        <w:t>Mayor’s</w:t>
      </w:r>
      <w:proofErr w:type="gramEnd"/>
      <w:r>
        <w:rPr>
          <w:rFonts w:asciiTheme="minorHAnsi" w:hAnsiTheme="minorHAnsi" w:cstheme="minorHAnsi"/>
          <w:color w:val="000000" w:themeColor="text1"/>
        </w:rPr>
        <w:t xml:space="preserve"> 2019-23 ESF Programme, GLA Supplementary Data, ILR data submitted to the ESFA, and supporting evidence, will be retained securely for at least 2 years after the final ESF claim has been paid by the EU Commission to the UK Managing Authority, which is expected to be until at least 31 December 2033.</w:t>
      </w:r>
    </w:p>
    <w:p w14:paraId="5B39DC58" w14:textId="77777777" w:rsidR="004628BB" w:rsidRDefault="002C5754">
      <w:pPr>
        <w:pStyle w:val="NormalWeb"/>
        <w:spacing w:before="0" w:beforeAutospacing="0" w:after="240" w:afterAutospacing="0"/>
        <w:rPr>
          <w:rFonts w:asciiTheme="minorHAnsi" w:hAnsiTheme="minorHAnsi" w:cstheme="minorHAnsi"/>
          <w:color w:val="000000" w:themeColor="text1"/>
        </w:rPr>
      </w:pPr>
      <w:r>
        <w:rPr>
          <w:rFonts w:asciiTheme="minorHAnsi" w:hAnsiTheme="minorHAnsi" w:cstheme="minorHAnsi"/>
          <w:color w:val="000000" w:themeColor="text1"/>
        </w:rPr>
        <w:t>The Data Controller is responsible for determining any further need to process the data, including its retention, prior to secure destruction.</w:t>
      </w:r>
    </w:p>
    <w:p w14:paraId="5B39DC59" w14:textId="77777777" w:rsidR="004628BB" w:rsidRDefault="002C5754">
      <w:pPr>
        <w:pStyle w:val="NormalWeb"/>
        <w:spacing w:before="0" w:beforeAutospacing="0" w:after="240" w:afterAutospacing="0"/>
        <w:rPr>
          <w:rFonts w:asciiTheme="minorHAnsi" w:eastAsia="MS Gothic" w:hAnsiTheme="minorHAnsi" w:cstheme="minorHAnsi"/>
          <w:b/>
          <w:color w:val="000000"/>
          <w:sz w:val="28"/>
          <w:szCs w:val="28"/>
        </w:rPr>
      </w:pPr>
      <w:r>
        <w:rPr>
          <w:rFonts w:asciiTheme="minorHAnsi" w:eastAsia="MS Gothic" w:hAnsiTheme="minorHAnsi" w:cstheme="minorHAnsi"/>
          <w:b/>
          <w:color w:val="000000"/>
          <w:sz w:val="28"/>
          <w:szCs w:val="28"/>
        </w:rPr>
        <w:t>10) Other GDPR Documents and Forms</w:t>
      </w:r>
    </w:p>
    <w:p w14:paraId="5B39DC5A"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An inventory is made of all personal data held by the company. This is called a Personal Data Record List. This document details:</w:t>
      </w:r>
    </w:p>
    <w:p w14:paraId="5B39DC5B" w14:textId="77777777" w:rsidR="004628BB" w:rsidRDefault="002C5754">
      <w:pPr>
        <w:pStyle w:val="ListParagraph"/>
        <w:numPr>
          <w:ilvl w:val="0"/>
          <w:numId w:val="13"/>
        </w:numPr>
        <w:rPr>
          <w:rFonts w:asciiTheme="minorHAnsi" w:eastAsia="MS Gothic" w:hAnsiTheme="minorHAnsi" w:cstheme="minorHAnsi"/>
        </w:rPr>
      </w:pPr>
      <w:r>
        <w:rPr>
          <w:rFonts w:asciiTheme="minorHAnsi" w:eastAsia="MS Gothic" w:hAnsiTheme="minorHAnsi" w:cstheme="minorHAnsi"/>
        </w:rPr>
        <w:t>The nature of the data</w:t>
      </w:r>
    </w:p>
    <w:p w14:paraId="5B39DC5C" w14:textId="77777777" w:rsidR="004628BB" w:rsidRDefault="002C5754">
      <w:pPr>
        <w:pStyle w:val="ListParagraph"/>
        <w:numPr>
          <w:ilvl w:val="0"/>
          <w:numId w:val="13"/>
        </w:numPr>
        <w:rPr>
          <w:rFonts w:asciiTheme="minorHAnsi" w:eastAsia="MS Gothic" w:hAnsiTheme="minorHAnsi" w:cstheme="minorHAnsi"/>
        </w:rPr>
      </w:pPr>
      <w:r>
        <w:rPr>
          <w:rFonts w:asciiTheme="minorHAnsi" w:eastAsia="MS Gothic" w:hAnsiTheme="minorHAnsi" w:cstheme="minorHAnsi"/>
        </w:rPr>
        <w:t xml:space="preserve">The record </w:t>
      </w:r>
      <w:proofErr w:type="gramStart"/>
      <w:r>
        <w:rPr>
          <w:rFonts w:asciiTheme="minorHAnsi" w:eastAsia="MS Gothic" w:hAnsiTheme="minorHAnsi" w:cstheme="minorHAnsi"/>
        </w:rPr>
        <w:t>format</w:t>
      </w:r>
      <w:proofErr w:type="gramEnd"/>
    </w:p>
    <w:p w14:paraId="5B39DC5D" w14:textId="77777777" w:rsidR="004628BB" w:rsidRDefault="002C5754">
      <w:pPr>
        <w:pStyle w:val="ListParagraph"/>
        <w:numPr>
          <w:ilvl w:val="0"/>
          <w:numId w:val="13"/>
        </w:numPr>
        <w:rPr>
          <w:rFonts w:asciiTheme="minorHAnsi" w:eastAsia="MS Gothic" w:hAnsiTheme="minorHAnsi" w:cstheme="minorHAnsi"/>
        </w:rPr>
      </w:pPr>
      <w:r>
        <w:rPr>
          <w:rFonts w:asciiTheme="minorHAnsi" w:eastAsia="MS Gothic" w:hAnsiTheme="minorHAnsi" w:cstheme="minorHAnsi"/>
        </w:rPr>
        <w:t xml:space="preserve">The person/people who hold the </w:t>
      </w:r>
      <w:proofErr w:type="gramStart"/>
      <w:r>
        <w:rPr>
          <w:rFonts w:asciiTheme="minorHAnsi" w:eastAsia="MS Gothic" w:hAnsiTheme="minorHAnsi" w:cstheme="minorHAnsi"/>
        </w:rPr>
        <w:t>data</w:t>
      </w:r>
      <w:proofErr w:type="gramEnd"/>
    </w:p>
    <w:p w14:paraId="5B39DC5E" w14:textId="77777777" w:rsidR="004628BB" w:rsidRDefault="002C5754">
      <w:pPr>
        <w:pStyle w:val="ListParagraph"/>
        <w:numPr>
          <w:ilvl w:val="0"/>
          <w:numId w:val="13"/>
        </w:numPr>
        <w:rPr>
          <w:rFonts w:asciiTheme="minorHAnsi" w:eastAsia="MS Gothic" w:hAnsiTheme="minorHAnsi" w:cstheme="minorHAnsi"/>
        </w:rPr>
      </w:pPr>
      <w:r>
        <w:rPr>
          <w:rFonts w:asciiTheme="minorHAnsi" w:eastAsia="MS Gothic" w:hAnsiTheme="minorHAnsi" w:cstheme="minorHAnsi"/>
        </w:rPr>
        <w:t>Where the data is held</w:t>
      </w:r>
    </w:p>
    <w:p w14:paraId="5B39DC5F" w14:textId="77777777" w:rsidR="004628BB" w:rsidRDefault="002C5754">
      <w:pPr>
        <w:pStyle w:val="ListParagraph"/>
        <w:numPr>
          <w:ilvl w:val="0"/>
          <w:numId w:val="13"/>
        </w:numPr>
        <w:rPr>
          <w:rFonts w:asciiTheme="minorHAnsi" w:eastAsia="MS Gothic" w:hAnsiTheme="minorHAnsi" w:cstheme="minorHAnsi"/>
        </w:rPr>
      </w:pPr>
      <w:r>
        <w:rPr>
          <w:rFonts w:asciiTheme="minorHAnsi" w:eastAsia="MS Gothic" w:hAnsiTheme="minorHAnsi" w:cstheme="minorHAnsi"/>
        </w:rPr>
        <w:t>A description of security measures in place</w:t>
      </w:r>
    </w:p>
    <w:p w14:paraId="5B39DC60" w14:textId="77777777" w:rsidR="004628BB" w:rsidRDefault="002C5754">
      <w:pPr>
        <w:pStyle w:val="ListParagraph"/>
        <w:numPr>
          <w:ilvl w:val="0"/>
          <w:numId w:val="13"/>
        </w:numPr>
        <w:rPr>
          <w:rFonts w:asciiTheme="minorHAnsi" w:eastAsia="MS Gothic" w:hAnsiTheme="minorHAnsi" w:cstheme="minorHAnsi"/>
        </w:rPr>
      </w:pPr>
      <w:r>
        <w:rPr>
          <w:rFonts w:asciiTheme="minorHAnsi" w:eastAsia="MS Gothic" w:hAnsiTheme="minorHAnsi" w:cstheme="minorHAnsi"/>
        </w:rPr>
        <w:t xml:space="preserve">Who has access to this </w:t>
      </w:r>
      <w:proofErr w:type="gramStart"/>
      <w:r>
        <w:rPr>
          <w:rFonts w:asciiTheme="minorHAnsi" w:eastAsia="MS Gothic" w:hAnsiTheme="minorHAnsi" w:cstheme="minorHAnsi"/>
        </w:rPr>
        <w:t>data</w:t>
      </w:r>
      <w:proofErr w:type="gramEnd"/>
    </w:p>
    <w:p w14:paraId="5B39DC61" w14:textId="77777777" w:rsidR="004628BB" w:rsidRDefault="002C5754">
      <w:pPr>
        <w:pStyle w:val="ListParagraph"/>
        <w:numPr>
          <w:ilvl w:val="0"/>
          <w:numId w:val="13"/>
        </w:numPr>
        <w:rPr>
          <w:rFonts w:asciiTheme="minorHAnsi" w:eastAsia="MS Gothic" w:hAnsiTheme="minorHAnsi" w:cstheme="minorHAnsi"/>
        </w:rPr>
      </w:pPr>
      <w:r>
        <w:rPr>
          <w:rFonts w:asciiTheme="minorHAnsi" w:eastAsia="MS Gothic" w:hAnsiTheme="minorHAnsi" w:cstheme="minorHAnsi"/>
        </w:rPr>
        <w:t xml:space="preserve">The legal justification for holding the </w:t>
      </w:r>
      <w:proofErr w:type="gramStart"/>
      <w:r>
        <w:rPr>
          <w:rFonts w:asciiTheme="minorHAnsi" w:eastAsia="MS Gothic" w:hAnsiTheme="minorHAnsi" w:cstheme="minorHAnsi"/>
        </w:rPr>
        <w:t>data</w:t>
      </w:r>
      <w:proofErr w:type="gramEnd"/>
    </w:p>
    <w:p w14:paraId="5B39DC62" w14:textId="77777777" w:rsidR="004628BB" w:rsidRDefault="002C5754">
      <w:pPr>
        <w:pStyle w:val="ListParagraph"/>
        <w:numPr>
          <w:ilvl w:val="0"/>
          <w:numId w:val="13"/>
        </w:numPr>
        <w:rPr>
          <w:rFonts w:asciiTheme="minorHAnsi" w:eastAsia="MS Gothic" w:hAnsiTheme="minorHAnsi" w:cstheme="minorHAnsi"/>
        </w:rPr>
      </w:pPr>
      <w:r>
        <w:rPr>
          <w:rFonts w:asciiTheme="minorHAnsi" w:eastAsia="MS Gothic" w:hAnsiTheme="minorHAnsi" w:cstheme="minorHAnsi"/>
        </w:rPr>
        <w:t xml:space="preserve">The retention </w:t>
      </w:r>
      <w:proofErr w:type="gramStart"/>
      <w:r>
        <w:rPr>
          <w:rFonts w:asciiTheme="minorHAnsi" w:eastAsia="MS Gothic" w:hAnsiTheme="minorHAnsi" w:cstheme="minorHAnsi"/>
        </w:rPr>
        <w:t>periods</w:t>
      </w:r>
      <w:proofErr w:type="gramEnd"/>
    </w:p>
    <w:p w14:paraId="5B39DC63" w14:textId="77777777" w:rsidR="004628BB" w:rsidRDefault="002C5754">
      <w:pPr>
        <w:pStyle w:val="ListParagraph"/>
        <w:numPr>
          <w:ilvl w:val="0"/>
          <w:numId w:val="13"/>
        </w:numPr>
        <w:rPr>
          <w:rFonts w:asciiTheme="minorHAnsi" w:eastAsia="MS Gothic" w:hAnsiTheme="minorHAnsi" w:cstheme="minorHAnsi"/>
        </w:rPr>
      </w:pPr>
      <w:r>
        <w:rPr>
          <w:rFonts w:asciiTheme="minorHAnsi" w:eastAsia="MS Gothic" w:hAnsiTheme="minorHAnsi" w:cstheme="minorHAnsi"/>
        </w:rPr>
        <w:t>The risk level of this data</w:t>
      </w:r>
    </w:p>
    <w:p w14:paraId="5B39DC64" w14:textId="77777777" w:rsidR="004628BB" w:rsidRDefault="004628BB">
      <w:pPr>
        <w:rPr>
          <w:rFonts w:asciiTheme="minorHAnsi" w:eastAsia="MS Gothic" w:hAnsiTheme="minorHAnsi" w:cstheme="minorHAnsi"/>
        </w:rPr>
      </w:pPr>
    </w:p>
    <w:p w14:paraId="5B39DC65" w14:textId="77777777" w:rsidR="004628BB" w:rsidRDefault="002C5754">
      <w:pPr>
        <w:rPr>
          <w:rFonts w:eastAsia="MS Gothic"/>
        </w:rPr>
      </w:pPr>
      <w:r>
        <w:rPr>
          <w:rFonts w:eastAsia="MS Gothic"/>
        </w:rPr>
        <w:t>This can all be found in ST Personal Data Record V02</w:t>
      </w:r>
    </w:p>
    <w:p w14:paraId="5B39DC66" w14:textId="77777777" w:rsidR="004628BB" w:rsidRDefault="004628BB">
      <w:pPr>
        <w:pStyle w:val="ListParagraph"/>
        <w:rPr>
          <w:rFonts w:eastAsia="MS Gothic"/>
        </w:rPr>
      </w:pPr>
    </w:p>
    <w:p w14:paraId="5B39DC67"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lastRenderedPageBreak/>
        <w:t xml:space="preserve">Data requests made by employees, former employees, students, former </w:t>
      </w:r>
      <w:r>
        <w:rPr>
          <w:rFonts w:asciiTheme="minorHAnsi" w:eastAsia="MS Gothic" w:hAnsiTheme="minorHAnsi" w:cstheme="minorHAnsi"/>
          <w:color w:val="000000"/>
        </w:rPr>
        <w:t xml:space="preserve">students, customers, </w:t>
      </w:r>
      <w:proofErr w:type="gramStart"/>
      <w:r>
        <w:rPr>
          <w:rFonts w:asciiTheme="minorHAnsi" w:eastAsia="MS Gothic" w:hAnsiTheme="minorHAnsi" w:cstheme="minorHAnsi"/>
          <w:color w:val="000000"/>
        </w:rPr>
        <w:t>suppliers</w:t>
      </w:r>
      <w:proofErr w:type="gramEnd"/>
      <w:r>
        <w:rPr>
          <w:rFonts w:asciiTheme="minorHAnsi" w:eastAsia="MS Gothic" w:hAnsiTheme="minorHAnsi" w:cstheme="minorHAnsi"/>
          <w:color w:val="000000"/>
        </w:rPr>
        <w:t xml:space="preserve"> and business partners must be made in writing. Written requests are made using the forms listed below:</w:t>
      </w:r>
    </w:p>
    <w:p w14:paraId="5B39DC68" w14:textId="77777777" w:rsidR="004628BB" w:rsidRDefault="002C5754">
      <w:pPr>
        <w:pStyle w:val="NormalWeb"/>
        <w:spacing w:before="0" w:beforeAutospacing="0" w:after="240" w:afterAutospacing="0"/>
        <w:rPr>
          <w:rFonts w:asciiTheme="minorHAnsi" w:eastAsia="MS Gothic" w:hAnsiTheme="minorHAnsi" w:cstheme="minorHAnsi"/>
          <w:color w:val="000000"/>
        </w:rPr>
      </w:pPr>
      <w:r>
        <w:rPr>
          <w:rFonts w:asciiTheme="minorHAnsi" w:eastAsia="MS Gothic" w:hAnsiTheme="minorHAnsi" w:cstheme="minorHAnsi"/>
          <w:color w:val="000000"/>
        </w:rPr>
        <w:t>ST Subject Access Request Form V01</w:t>
      </w:r>
      <w:r>
        <w:rPr>
          <w:rFonts w:asciiTheme="minorHAnsi" w:eastAsia="MS Gothic" w:hAnsiTheme="minorHAnsi" w:cstheme="minorHAnsi"/>
          <w:color w:val="000000"/>
        </w:rPr>
        <w:br/>
        <w:t>ST Subject Erasure Request Form V01</w:t>
      </w:r>
      <w:r>
        <w:rPr>
          <w:rFonts w:asciiTheme="minorHAnsi" w:eastAsia="MS Gothic" w:hAnsiTheme="minorHAnsi" w:cstheme="minorHAnsi"/>
          <w:color w:val="000000"/>
        </w:rPr>
        <w:br/>
        <w:t>ST Subject Correction Request Form V01</w:t>
      </w:r>
    </w:p>
    <w:p w14:paraId="5B39DC69" w14:textId="77777777" w:rsidR="004628BB" w:rsidRDefault="002C5754">
      <w:pPr>
        <w:pStyle w:val="NormalWeb"/>
        <w:spacing w:before="0" w:beforeAutospacing="0" w:after="240" w:afterAutospacing="0"/>
        <w:rPr>
          <w:rFonts w:asciiTheme="minorHAnsi" w:eastAsia="MS Gothic" w:hAnsiTheme="minorHAnsi" w:cstheme="minorHAnsi"/>
          <w:color w:val="000000" w:themeColor="text1"/>
        </w:rPr>
      </w:pPr>
      <w:r>
        <w:rPr>
          <w:rFonts w:asciiTheme="minorHAnsi" w:eastAsia="MS Gothic" w:hAnsiTheme="minorHAnsi" w:cstheme="minorHAnsi"/>
          <w:color w:val="000000" w:themeColor="text1"/>
        </w:rPr>
        <w:t>This document provides a specific breakdown of all data held, the reasons for holding it and of any mandatory retention periods or other legislation which may restrict the company’s ability to erase data. This document also details the GDPR responsibilities or students.</w:t>
      </w:r>
    </w:p>
    <w:p w14:paraId="5B39DC6A" w14:textId="77777777" w:rsidR="004628BB" w:rsidRDefault="002C5754">
      <w:pPr>
        <w:pStyle w:val="NormalWeb"/>
        <w:spacing w:before="0" w:beforeAutospacing="0" w:after="240" w:afterAutospacing="0"/>
        <w:rPr>
          <w:rFonts w:asciiTheme="minorHAnsi" w:eastAsia="MS Gothic" w:hAnsiTheme="minorHAnsi" w:cstheme="minorHAnsi"/>
          <w:color w:val="000000" w:themeColor="text1"/>
        </w:rPr>
      </w:pPr>
      <w:r>
        <w:rPr>
          <w:rFonts w:asciiTheme="minorHAnsi" w:eastAsia="MS Gothic" w:hAnsiTheme="minorHAnsi" w:cstheme="minorHAnsi"/>
          <w:color w:val="000000" w:themeColor="text1"/>
        </w:rPr>
        <w:t>Data breaches are recorded on to a data breach log. This is called: ST Data Breach Log 2018. This log records the breach (as originally reported), the investigation, date reported to ICO, remedy and recommended future actions.</w:t>
      </w:r>
    </w:p>
    <w:p w14:paraId="5B39DC6B" w14:textId="4B5AE53A" w:rsidR="004628BB" w:rsidRDefault="002C5754">
      <w:pPr>
        <w:pStyle w:val="NormalWeb"/>
        <w:spacing w:before="0" w:beforeAutospacing="0" w:after="240" w:afterAutospacing="0"/>
        <w:rPr>
          <w:rStyle w:val="Hyperlink"/>
          <w:rFonts w:asciiTheme="minorHAnsi" w:hAnsiTheme="minorHAnsi" w:cstheme="minorHAnsi"/>
          <w:b/>
          <w:bCs/>
        </w:rPr>
      </w:pPr>
      <w:r>
        <w:rPr>
          <w:rFonts w:asciiTheme="minorHAnsi" w:eastAsia="MS Gothic" w:hAnsiTheme="minorHAnsi" w:cstheme="minorHAnsi"/>
          <w:b/>
          <w:color w:val="000000"/>
        </w:rPr>
        <w:t xml:space="preserve">If you have any queries  about the policies which have been explained within this document, please do not hesitate to contact the Data Protection Officers at </w:t>
      </w:r>
      <w:hyperlink r:id="rId18" w:history="1">
        <w:r>
          <w:rPr>
            <w:rStyle w:val="Hyperlink"/>
            <w:rFonts w:asciiTheme="minorHAnsi" w:eastAsia="MS Gothic" w:hAnsiTheme="minorHAnsi" w:cstheme="minorHAnsi"/>
            <w:b/>
          </w:rPr>
          <w:t>datacontroller@strivetraining.co.uk</w:t>
        </w:r>
      </w:hyperlink>
      <w:r w:rsidR="0069437F">
        <w:rPr>
          <w:rFonts w:asciiTheme="minorHAnsi" w:eastAsia="MS Gothic" w:hAnsiTheme="minorHAnsi" w:cstheme="minorHAnsi"/>
          <w:b/>
          <w:color w:val="000000"/>
        </w:rPr>
        <w:t>.</w:t>
      </w:r>
      <w:r w:rsidR="0069437F">
        <w:rPr>
          <w:rStyle w:val="Hyperlink"/>
          <w:rFonts w:asciiTheme="minorHAnsi" w:hAnsiTheme="minorHAnsi" w:cstheme="minorHAnsi"/>
          <w:b/>
          <w:bCs/>
        </w:rPr>
        <w:t xml:space="preserve"> </w:t>
      </w:r>
    </w:p>
    <w:p w14:paraId="5B39DC6C" w14:textId="77777777" w:rsidR="004628BB" w:rsidRDefault="004628BB">
      <w:pPr>
        <w:pStyle w:val="NormalWeb"/>
        <w:spacing w:before="0" w:beforeAutospacing="0" w:after="240" w:afterAutospacing="0"/>
        <w:rPr>
          <w:rStyle w:val="Hyperlink"/>
          <w:rFonts w:asciiTheme="minorHAnsi" w:hAnsiTheme="minorHAnsi" w:cstheme="minorHAnsi"/>
          <w:b/>
          <w:bCs/>
        </w:rPr>
      </w:pPr>
    </w:p>
    <w:p w14:paraId="5B39DC6D" w14:textId="77777777" w:rsidR="004628BB" w:rsidRDefault="002C5754">
      <w:pPr>
        <w:pStyle w:val="NormalWeb"/>
        <w:numPr>
          <w:ilvl w:val="0"/>
          <w:numId w:val="14"/>
        </w:numPr>
        <w:spacing w:before="0" w:beforeAutospacing="0" w:after="240" w:afterAutospacing="0"/>
        <w:rPr>
          <w:rStyle w:val="Hyperlink"/>
          <w:rFonts w:asciiTheme="minorHAnsi" w:eastAsia="MS Gothic" w:hAnsiTheme="minorHAnsi" w:cstheme="minorHAnsi"/>
          <w:b/>
          <w:color w:val="000000" w:themeColor="text1"/>
          <w:u w:val="none"/>
        </w:rPr>
      </w:pPr>
      <w:r>
        <w:rPr>
          <w:rStyle w:val="Hyperlink"/>
          <w:rFonts w:asciiTheme="minorHAnsi" w:hAnsiTheme="minorHAnsi" w:cstheme="minorHAnsi"/>
          <w:b/>
          <w:bCs/>
          <w:color w:val="000000" w:themeColor="text1"/>
          <w:u w:val="none"/>
        </w:rPr>
        <w:t>Training</w:t>
      </w:r>
    </w:p>
    <w:p w14:paraId="5B39DC6E" w14:textId="77777777" w:rsidR="004628BB" w:rsidRDefault="002C5754">
      <w:pPr>
        <w:pStyle w:val="NormalWeb"/>
        <w:spacing w:before="0" w:beforeAutospacing="0" w:after="240" w:afterAutospacing="0"/>
        <w:rPr>
          <w:rStyle w:val="Hyperlink"/>
          <w:rFonts w:asciiTheme="minorHAnsi" w:hAnsiTheme="minorHAnsi" w:cstheme="minorHAnsi"/>
          <w:color w:val="000000" w:themeColor="text1"/>
          <w:u w:val="none"/>
        </w:rPr>
      </w:pPr>
      <w:r>
        <w:rPr>
          <w:rStyle w:val="Hyperlink"/>
          <w:rFonts w:asciiTheme="minorHAnsi" w:hAnsiTheme="minorHAnsi" w:cstheme="minorHAnsi"/>
          <w:color w:val="000000" w:themeColor="text1"/>
          <w:u w:val="none"/>
        </w:rPr>
        <w:t>The Data Protection Officers should have formal and up to date GDPR training.</w:t>
      </w:r>
    </w:p>
    <w:p w14:paraId="5B39DC6F" w14:textId="77777777" w:rsidR="004628BB" w:rsidRDefault="002C5754">
      <w:pPr>
        <w:pStyle w:val="NormalWeb"/>
        <w:spacing w:before="0" w:beforeAutospacing="0" w:after="240" w:afterAutospacing="0"/>
        <w:rPr>
          <w:rStyle w:val="Hyperlink"/>
          <w:rFonts w:asciiTheme="minorHAnsi" w:hAnsiTheme="minorHAnsi" w:cstheme="minorHAnsi"/>
          <w:color w:val="000000" w:themeColor="text1"/>
          <w:u w:val="none"/>
        </w:rPr>
      </w:pPr>
      <w:r>
        <w:rPr>
          <w:rStyle w:val="Hyperlink"/>
          <w:rFonts w:asciiTheme="minorHAnsi" w:hAnsiTheme="minorHAnsi" w:cstheme="minorHAnsi"/>
          <w:color w:val="000000" w:themeColor="text1"/>
          <w:u w:val="none"/>
        </w:rPr>
        <w:t xml:space="preserve">The Data Protection Officers should </w:t>
      </w:r>
      <w:r>
        <w:rPr>
          <w:rStyle w:val="Hyperlink"/>
          <w:rFonts w:asciiTheme="minorHAnsi" w:hAnsiTheme="minorHAnsi" w:cstheme="minorHAnsi"/>
          <w:color w:val="000000" w:themeColor="text1"/>
          <w:u w:val="none"/>
        </w:rPr>
        <w:t>provide GDPR training to all staff, as part of the induction process.</w:t>
      </w:r>
    </w:p>
    <w:p w14:paraId="5B39DC70" w14:textId="77777777" w:rsidR="004628BB" w:rsidRDefault="004628BB">
      <w:pPr>
        <w:pStyle w:val="NormalWeb"/>
        <w:spacing w:before="0" w:beforeAutospacing="0" w:after="240" w:afterAutospacing="0"/>
        <w:rPr>
          <w:rStyle w:val="Hyperlink"/>
          <w:rFonts w:asciiTheme="minorHAnsi" w:hAnsiTheme="minorHAnsi" w:cstheme="minorHAnsi"/>
          <w:color w:val="000000" w:themeColor="text1"/>
          <w:u w:val="none"/>
        </w:rPr>
      </w:pPr>
    </w:p>
    <w:p w14:paraId="5B39DC71" w14:textId="77777777" w:rsidR="004628BB" w:rsidRDefault="002C5754">
      <w:pPr>
        <w:pStyle w:val="NormalWeb"/>
        <w:spacing w:before="0" w:beforeAutospacing="0" w:after="240" w:afterAutospacing="0"/>
        <w:rPr>
          <w:rStyle w:val="Hyperlink"/>
          <w:rFonts w:asciiTheme="minorHAnsi" w:hAnsiTheme="minorHAnsi" w:cstheme="minorHAnsi"/>
          <w:color w:val="000000" w:themeColor="text1"/>
          <w:u w:val="none"/>
        </w:rPr>
      </w:pPr>
      <w:r>
        <w:rPr>
          <w:rStyle w:val="Hyperlink"/>
          <w:rFonts w:asciiTheme="minorHAnsi" w:hAnsiTheme="minorHAnsi" w:cstheme="minorHAnsi"/>
          <w:color w:val="000000" w:themeColor="text1"/>
          <w:u w:val="none"/>
        </w:rPr>
        <w:t>Refresher training should be provided to staff every 2 years or when there are changes to</w:t>
      </w:r>
      <w:r>
        <w:rPr>
          <w:rStyle w:val="Hyperlink"/>
          <w:rFonts w:asciiTheme="minorHAnsi" w:hAnsiTheme="minorHAnsi" w:cstheme="minorHAnsi"/>
          <w:b/>
          <w:bCs/>
          <w:color w:val="000000" w:themeColor="text1"/>
          <w:u w:val="none"/>
        </w:rPr>
        <w:t xml:space="preserve"> </w:t>
      </w:r>
      <w:r>
        <w:rPr>
          <w:rStyle w:val="Hyperlink"/>
          <w:rFonts w:asciiTheme="minorHAnsi" w:hAnsiTheme="minorHAnsi" w:cstheme="minorHAnsi"/>
          <w:color w:val="000000" w:themeColor="text1"/>
          <w:u w:val="none"/>
        </w:rPr>
        <w:t>GDPR law.</w:t>
      </w:r>
    </w:p>
    <w:p w14:paraId="5B39DC72" w14:textId="77777777" w:rsidR="004628BB" w:rsidRDefault="002C5754">
      <w:pPr>
        <w:pStyle w:val="NormalWeb"/>
        <w:numPr>
          <w:ilvl w:val="0"/>
          <w:numId w:val="14"/>
        </w:numPr>
        <w:spacing w:before="0" w:beforeAutospacing="0" w:after="240" w:afterAutospacing="0"/>
        <w:rPr>
          <w:rStyle w:val="Hyperlink"/>
          <w:rFonts w:asciiTheme="minorHAnsi" w:eastAsia="MS Gothic" w:hAnsiTheme="minorHAnsi" w:cstheme="minorHAnsi"/>
          <w:b/>
          <w:bCs/>
          <w:color w:val="000000" w:themeColor="text1"/>
          <w:u w:val="none"/>
        </w:rPr>
      </w:pPr>
      <w:r>
        <w:rPr>
          <w:rStyle w:val="Hyperlink"/>
          <w:rFonts w:asciiTheme="minorHAnsi" w:hAnsiTheme="minorHAnsi" w:cstheme="minorHAnsi"/>
          <w:b/>
          <w:bCs/>
          <w:color w:val="000000" w:themeColor="text1"/>
          <w:u w:val="none"/>
        </w:rPr>
        <w:t>Review</w:t>
      </w:r>
    </w:p>
    <w:p w14:paraId="5B39DC73" w14:textId="77777777" w:rsidR="004628BB" w:rsidRDefault="002C5754">
      <w:pPr>
        <w:pStyle w:val="NormalWeb"/>
        <w:spacing w:before="0" w:beforeAutospacing="0" w:after="240" w:afterAutospacing="0"/>
        <w:ind w:left="720"/>
        <w:rPr>
          <w:rStyle w:val="Hyperlink"/>
          <w:rFonts w:asciiTheme="minorHAnsi" w:hAnsiTheme="minorHAnsi" w:cstheme="minorHAnsi"/>
          <w:color w:val="000000" w:themeColor="text1"/>
          <w:u w:val="none"/>
        </w:rPr>
      </w:pPr>
      <w:r>
        <w:rPr>
          <w:rStyle w:val="Hyperlink"/>
          <w:rFonts w:asciiTheme="minorHAnsi" w:hAnsiTheme="minorHAnsi" w:cstheme="minorHAnsi"/>
          <w:color w:val="000000" w:themeColor="text1"/>
          <w:u w:val="none"/>
        </w:rPr>
        <w:t>The Data Protection Officer will conduct an audit of GDPR processes annual in November. The audit shall:</w:t>
      </w:r>
    </w:p>
    <w:p w14:paraId="5B39DC74" w14:textId="77777777" w:rsidR="004628BB" w:rsidRDefault="002C5754">
      <w:pPr>
        <w:pStyle w:val="NormalWeb"/>
        <w:numPr>
          <w:ilvl w:val="0"/>
          <w:numId w:val="15"/>
        </w:numPr>
        <w:spacing w:before="0" w:beforeAutospacing="0" w:after="240" w:afterAutospacing="0"/>
        <w:rPr>
          <w:rFonts w:asciiTheme="minorHAnsi" w:eastAsia="MS Gothic" w:hAnsiTheme="minorHAnsi" w:cstheme="minorHAnsi"/>
          <w:bCs/>
          <w:color w:val="000000" w:themeColor="text1"/>
        </w:rPr>
      </w:pPr>
      <w:r>
        <w:rPr>
          <w:rFonts w:asciiTheme="minorHAnsi" w:eastAsia="MS Gothic" w:hAnsiTheme="minorHAnsi" w:cstheme="minorHAnsi"/>
          <w:bCs/>
          <w:color w:val="000000" w:themeColor="text1"/>
        </w:rPr>
        <w:t>Review effectiveness and compliance of processes</w:t>
      </w:r>
    </w:p>
    <w:p w14:paraId="5B39DC75" w14:textId="77777777" w:rsidR="004628BB" w:rsidRDefault="002C5754">
      <w:pPr>
        <w:pStyle w:val="NormalWeb"/>
        <w:numPr>
          <w:ilvl w:val="0"/>
          <w:numId w:val="15"/>
        </w:numPr>
        <w:spacing w:before="0" w:beforeAutospacing="0" w:after="240" w:afterAutospacing="0"/>
        <w:rPr>
          <w:rFonts w:asciiTheme="minorHAnsi" w:eastAsia="MS Gothic" w:hAnsiTheme="minorHAnsi" w:cstheme="minorHAnsi"/>
          <w:bCs/>
          <w:color w:val="000000" w:themeColor="text1"/>
        </w:rPr>
      </w:pPr>
      <w:r>
        <w:rPr>
          <w:rFonts w:asciiTheme="minorHAnsi" w:eastAsia="MS Gothic" w:hAnsiTheme="minorHAnsi" w:cstheme="minorHAnsi"/>
          <w:bCs/>
          <w:color w:val="000000" w:themeColor="text1"/>
        </w:rPr>
        <w:t xml:space="preserve">Review understanding of processes within the </w:t>
      </w:r>
      <w:proofErr w:type="gramStart"/>
      <w:r>
        <w:rPr>
          <w:rFonts w:asciiTheme="minorHAnsi" w:eastAsia="MS Gothic" w:hAnsiTheme="minorHAnsi" w:cstheme="minorHAnsi"/>
          <w:bCs/>
          <w:color w:val="000000" w:themeColor="text1"/>
        </w:rPr>
        <w:t>workforce</w:t>
      </w:r>
      <w:proofErr w:type="gramEnd"/>
    </w:p>
    <w:p w14:paraId="5B39DC76" w14:textId="77777777" w:rsidR="004628BB" w:rsidRDefault="002C5754">
      <w:pPr>
        <w:pStyle w:val="NormalWeb"/>
        <w:numPr>
          <w:ilvl w:val="0"/>
          <w:numId w:val="15"/>
        </w:numPr>
        <w:spacing w:before="0" w:beforeAutospacing="0" w:after="240" w:afterAutospacing="0"/>
        <w:rPr>
          <w:rFonts w:asciiTheme="minorHAnsi" w:eastAsia="MS Gothic" w:hAnsiTheme="minorHAnsi" w:cstheme="minorHAnsi"/>
          <w:bCs/>
          <w:color w:val="000000" w:themeColor="text1"/>
        </w:rPr>
      </w:pPr>
      <w:r>
        <w:rPr>
          <w:rFonts w:asciiTheme="minorHAnsi" w:eastAsia="MS Gothic" w:hAnsiTheme="minorHAnsi" w:cstheme="minorHAnsi"/>
          <w:bCs/>
          <w:color w:val="000000" w:themeColor="text1"/>
        </w:rPr>
        <w:t>Identify discrepancies in how process is conducted in comparison to the described policy and procedures.</w:t>
      </w:r>
    </w:p>
    <w:p w14:paraId="5B39DC77" w14:textId="77777777" w:rsidR="004628BB" w:rsidRDefault="002C5754">
      <w:pPr>
        <w:pStyle w:val="NormalWeb"/>
        <w:numPr>
          <w:ilvl w:val="0"/>
          <w:numId w:val="15"/>
        </w:numPr>
        <w:spacing w:before="0" w:beforeAutospacing="0" w:after="240" w:afterAutospacing="0"/>
        <w:rPr>
          <w:rFonts w:asciiTheme="minorHAnsi" w:eastAsia="MS Gothic" w:hAnsiTheme="minorHAnsi" w:cstheme="minorHAnsi"/>
          <w:bCs/>
          <w:color w:val="000000" w:themeColor="text1"/>
        </w:rPr>
      </w:pPr>
      <w:r>
        <w:rPr>
          <w:rFonts w:asciiTheme="minorHAnsi" w:eastAsia="MS Gothic" w:hAnsiTheme="minorHAnsi" w:cstheme="minorHAnsi"/>
          <w:bCs/>
          <w:color w:val="000000" w:themeColor="text1"/>
        </w:rPr>
        <w:t xml:space="preserve">Review and </w:t>
      </w:r>
      <w:r>
        <w:rPr>
          <w:rFonts w:asciiTheme="minorHAnsi" w:eastAsia="MS Gothic" w:hAnsiTheme="minorHAnsi" w:cstheme="minorHAnsi"/>
          <w:bCs/>
          <w:color w:val="000000" w:themeColor="text1"/>
        </w:rPr>
        <w:t xml:space="preserve">update the list of personal </w:t>
      </w:r>
      <w:proofErr w:type="gramStart"/>
      <w:r>
        <w:rPr>
          <w:rFonts w:asciiTheme="minorHAnsi" w:eastAsia="MS Gothic" w:hAnsiTheme="minorHAnsi" w:cstheme="minorHAnsi"/>
          <w:bCs/>
          <w:color w:val="000000" w:themeColor="text1"/>
        </w:rPr>
        <w:t>data</w:t>
      </w:r>
      <w:proofErr w:type="gramEnd"/>
    </w:p>
    <w:p w14:paraId="5B39DC78" w14:textId="77777777" w:rsidR="004628BB" w:rsidRDefault="002C5754">
      <w:pPr>
        <w:pStyle w:val="NormalWeb"/>
        <w:numPr>
          <w:ilvl w:val="0"/>
          <w:numId w:val="14"/>
        </w:numPr>
        <w:spacing w:before="0" w:beforeAutospacing="0" w:after="240" w:afterAutospacing="0"/>
        <w:rPr>
          <w:rFonts w:asciiTheme="minorHAnsi" w:eastAsia="MS Gothic" w:hAnsiTheme="minorHAnsi" w:cstheme="minorHAnsi"/>
          <w:b/>
          <w:color w:val="000000" w:themeColor="text1"/>
        </w:rPr>
      </w:pPr>
      <w:r>
        <w:rPr>
          <w:rFonts w:asciiTheme="minorHAnsi" w:eastAsia="MS Gothic" w:hAnsiTheme="minorHAnsi" w:cstheme="minorHAnsi"/>
          <w:b/>
          <w:color w:val="000000" w:themeColor="text1"/>
        </w:rPr>
        <w:t xml:space="preserve">Transfer of personal data to processors established in third </w:t>
      </w:r>
      <w:proofErr w:type="gramStart"/>
      <w:r>
        <w:rPr>
          <w:rFonts w:asciiTheme="minorHAnsi" w:eastAsia="MS Gothic" w:hAnsiTheme="minorHAnsi" w:cstheme="minorHAnsi"/>
          <w:b/>
          <w:color w:val="000000" w:themeColor="text1"/>
        </w:rPr>
        <w:t>countries</w:t>
      </w:r>
      <w:proofErr w:type="gramEnd"/>
    </w:p>
    <w:p w14:paraId="5B39DC79" w14:textId="77777777" w:rsidR="004628BB" w:rsidRDefault="002C5754">
      <w:pPr>
        <w:pStyle w:val="NormalWeb"/>
        <w:spacing w:before="0" w:beforeAutospacing="0" w:after="240" w:afterAutospacing="0"/>
        <w:rPr>
          <w:rStyle w:val="fontstyle21"/>
        </w:rPr>
      </w:pPr>
      <w:r>
        <w:rPr>
          <w:rStyle w:val="fontstyle01"/>
        </w:rPr>
        <w:lastRenderedPageBreak/>
        <w:t>For the purposes of Article 26(2) of Directive 95/46/EC for the transfer of personal data to processors established in third countries which do not ensure an adequate level of data protection, the data exporter and the data importer identified in any contractual signature pages (commonly known as a DPA Standard Contractual Clauses (SCC) document) pertaining to the transfer of said data will agree to the clauses outlined in this section. Each a ‘party’, together ‘the parties’, WILL HAVE AGREED on the followi</w:t>
      </w:r>
      <w:r>
        <w:rPr>
          <w:rStyle w:val="fontstyle01"/>
        </w:rPr>
        <w:t xml:space="preserve">ng Contractual Clauses (the Clauses) </w:t>
      </w:r>
      <w:proofErr w:type="gramStart"/>
      <w:r>
        <w:rPr>
          <w:rStyle w:val="fontstyle01"/>
        </w:rPr>
        <w:t>in order to</w:t>
      </w:r>
      <w:proofErr w:type="gramEnd"/>
      <w:r>
        <w:rPr>
          <w:rStyle w:val="fontstyle01"/>
        </w:rPr>
        <w:t xml:space="preserve"> adduce adequate safeguards with respect to the protection of privacy and fundamental rights and freedoms of individuals for the transfer by the data exporter to the data importer of the personal data specified in Schedule 1.</w:t>
      </w:r>
      <w:r>
        <w:rPr>
          <w:rFonts w:ascii="Calibri" w:hAnsi="Calibri" w:cs="Calibri"/>
          <w:color w:val="000000"/>
          <w:sz w:val="22"/>
          <w:szCs w:val="22"/>
        </w:rPr>
        <w:br/>
      </w:r>
    </w:p>
    <w:p w14:paraId="5B39DC7A" w14:textId="77777777" w:rsidR="004628BB" w:rsidRDefault="002C5754">
      <w:pPr>
        <w:pStyle w:val="NormalWeb"/>
        <w:spacing w:before="0" w:beforeAutospacing="0" w:after="240" w:afterAutospacing="0"/>
        <w:rPr>
          <w:rFonts w:ascii="Calibri-BoldItalic" w:hAnsi="Calibri-BoldItalic"/>
          <w:b/>
          <w:bCs/>
          <w:i/>
          <w:iCs/>
          <w:color w:val="000000"/>
          <w:sz w:val="22"/>
          <w:szCs w:val="22"/>
        </w:rPr>
      </w:pPr>
      <w:r>
        <w:rPr>
          <w:rStyle w:val="fontstyle21"/>
        </w:rPr>
        <w:t>Clause 1</w:t>
      </w:r>
      <w:r>
        <w:rPr>
          <w:rFonts w:ascii="Calibri-Italic" w:hAnsi="Calibri-Italic"/>
          <w:i/>
          <w:iCs/>
          <w:color w:val="000000"/>
          <w:sz w:val="22"/>
          <w:szCs w:val="22"/>
        </w:rPr>
        <w:br/>
      </w:r>
      <w:r>
        <w:rPr>
          <w:rStyle w:val="fontstyle31"/>
        </w:rPr>
        <w:t>Definitions</w:t>
      </w:r>
      <w:r>
        <w:rPr>
          <w:rFonts w:ascii="Calibri-BoldItalic" w:hAnsi="Calibri-BoldItalic"/>
          <w:b/>
          <w:bCs/>
          <w:i/>
          <w:iCs/>
          <w:color w:val="000000"/>
          <w:sz w:val="22"/>
          <w:szCs w:val="22"/>
        </w:rPr>
        <w:br/>
      </w:r>
      <w:r>
        <w:rPr>
          <w:rStyle w:val="fontstyle01"/>
        </w:rPr>
        <w:t>For the purposes of the Clauses: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0"/>
        <w:gridCol w:w="8250"/>
      </w:tblGrid>
      <w:tr w:rsidR="004628BB" w14:paraId="5B39DC7D" w14:textId="77777777">
        <w:tc>
          <w:tcPr>
            <w:tcW w:w="660" w:type="dxa"/>
            <w:tcBorders>
              <w:top w:val="single" w:sz="4" w:space="0" w:color="auto"/>
              <w:left w:val="single" w:sz="4" w:space="0" w:color="auto"/>
              <w:bottom w:val="single" w:sz="4" w:space="0" w:color="auto"/>
              <w:right w:val="single" w:sz="4" w:space="0" w:color="auto"/>
            </w:tcBorders>
            <w:vAlign w:val="center"/>
          </w:tcPr>
          <w:p w14:paraId="5B39DC7B" w14:textId="77777777" w:rsidR="004628BB" w:rsidRDefault="002C5754">
            <w:r>
              <w:rPr>
                <w:rStyle w:val="fontstyle01"/>
              </w:rPr>
              <w:t xml:space="preserve">(a) </w:t>
            </w:r>
          </w:p>
        </w:tc>
        <w:tc>
          <w:tcPr>
            <w:tcW w:w="8250" w:type="dxa"/>
            <w:tcBorders>
              <w:top w:val="single" w:sz="4" w:space="0" w:color="auto"/>
              <w:left w:val="single" w:sz="4" w:space="0" w:color="auto"/>
              <w:bottom w:val="single" w:sz="4" w:space="0" w:color="auto"/>
              <w:right w:val="single" w:sz="4" w:space="0" w:color="auto"/>
            </w:tcBorders>
            <w:vAlign w:val="center"/>
          </w:tcPr>
          <w:p w14:paraId="5B39DC7C" w14:textId="77777777" w:rsidR="004628BB" w:rsidRDefault="002C5754">
            <w:r>
              <w:rPr>
                <w:rStyle w:val="fontstyle21"/>
              </w:rPr>
              <w:t>'</w:t>
            </w:r>
            <w:proofErr w:type="gramStart"/>
            <w:r>
              <w:rPr>
                <w:rStyle w:val="fontstyle21"/>
              </w:rPr>
              <w:t>personal</w:t>
            </w:r>
            <w:proofErr w:type="gramEnd"/>
            <w:r>
              <w:rPr>
                <w:rStyle w:val="fontstyle21"/>
              </w:rPr>
              <w:t xml:space="preserve"> data', 'special categories of data', </w:t>
            </w:r>
            <w:r>
              <w:rPr>
                <w:rStyle w:val="fontstyle21"/>
              </w:rPr>
              <w:t>'process/processing', 'controller', 'processor', 'data</w:t>
            </w:r>
            <w:r>
              <w:rPr>
                <w:rFonts w:ascii="Calibri-Italic" w:hAnsi="Calibri-Italic"/>
                <w:i/>
                <w:iCs/>
                <w:color w:val="000000"/>
                <w:sz w:val="22"/>
                <w:szCs w:val="22"/>
              </w:rPr>
              <w:br/>
            </w:r>
            <w:r>
              <w:rPr>
                <w:rStyle w:val="fontstyle21"/>
              </w:rPr>
              <w:t xml:space="preserve">subject' </w:t>
            </w:r>
            <w:r>
              <w:rPr>
                <w:rStyle w:val="fontstyle01"/>
              </w:rPr>
              <w:t xml:space="preserve">and </w:t>
            </w:r>
            <w:r>
              <w:rPr>
                <w:rStyle w:val="fontstyle21"/>
              </w:rPr>
              <w:t xml:space="preserve">'supervisory authority' </w:t>
            </w:r>
            <w:r>
              <w:rPr>
                <w:rStyle w:val="fontstyle01"/>
              </w:rPr>
              <w:t>shall have the same meaning as in Directive 95/46/EC of the</w:t>
            </w:r>
          </w:p>
        </w:tc>
      </w:tr>
    </w:tbl>
    <w:p w14:paraId="5B39DC7E" w14:textId="77777777" w:rsidR="004628BB" w:rsidRDefault="002C5754">
      <w:pPr>
        <w:pStyle w:val="ListParagraph"/>
        <w:numPr>
          <w:ilvl w:val="0"/>
          <w:numId w:val="14"/>
        </w:numPr>
      </w:pPr>
      <w:r>
        <w:rPr>
          <w:rStyle w:val="fontstyle01"/>
        </w:rPr>
        <w:t>European Parliament and of the Council of 24 October 1995 on the protection of individuals with</w:t>
      </w:r>
      <w:r>
        <w:rPr>
          <w:rFonts w:ascii="Calibri" w:hAnsi="Calibri" w:cs="Calibri"/>
          <w:color w:val="000000"/>
          <w:sz w:val="22"/>
          <w:szCs w:val="22"/>
        </w:rPr>
        <w:br/>
      </w:r>
      <w:r>
        <w:rPr>
          <w:rStyle w:val="fontstyle01"/>
        </w:rPr>
        <w:t xml:space="preserve">regard to the processing of personal data and on the free movement of such </w:t>
      </w:r>
      <w:proofErr w:type="gramStart"/>
      <w:r>
        <w:rPr>
          <w:rStyle w:val="fontstyle01"/>
        </w:rPr>
        <w:t>data;</w:t>
      </w:r>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6"/>
        <w:gridCol w:w="7640"/>
      </w:tblGrid>
      <w:tr w:rsidR="004628BB" w14:paraId="5B39DC81" w14:textId="77777777">
        <w:tc>
          <w:tcPr>
            <w:tcW w:w="675" w:type="dxa"/>
            <w:tcBorders>
              <w:top w:val="single" w:sz="4" w:space="0" w:color="auto"/>
              <w:left w:val="single" w:sz="4" w:space="0" w:color="auto"/>
              <w:bottom w:val="single" w:sz="4" w:space="0" w:color="auto"/>
              <w:right w:val="single" w:sz="4" w:space="0" w:color="auto"/>
            </w:tcBorders>
            <w:vAlign w:val="center"/>
          </w:tcPr>
          <w:p w14:paraId="5B39DC7F" w14:textId="77777777" w:rsidR="004628BB" w:rsidRDefault="002C5754">
            <w:r>
              <w:rPr>
                <w:rStyle w:val="fontstyle01"/>
              </w:rPr>
              <w:t xml:space="preserve">(b) </w:t>
            </w:r>
            <w:r>
              <w:rPr>
                <w:rFonts w:ascii="Calibri" w:hAnsi="Calibri" w:cs="Calibri"/>
                <w:color w:val="000000"/>
                <w:sz w:val="22"/>
                <w:szCs w:val="22"/>
              </w:rPr>
              <w:br/>
            </w:r>
            <w:r>
              <w:rPr>
                <w:rStyle w:val="fontstyle01"/>
              </w:rPr>
              <w:t xml:space="preserve">(c) </w:t>
            </w:r>
          </w:p>
        </w:tc>
        <w:tc>
          <w:tcPr>
            <w:tcW w:w="8250" w:type="dxa"/>
            <w:tcBorders>
              <w:top w:val="single" w:sz="4" w:space="0" w:color="auto"/>
              <w:left w:val="single" w:sz="4" w:space="0" w:color="auto"/>
              <w:bottom w:val="single" w:sz="4" w:space="0" w:color="auto"/>
              <w:right w:val="single" w:sz="4" w:space="0" w:color="auto"/>
            </w:tcBorders>
            <w:vAlign w:val="center"/>
          </w:tcPr>
          <w:p w14:paraId="5B39DC80" w14:textId="77777777" w:rsidR="004628BB" w:rsidRDefault="002C5754">
            <w:r>
              <w:rPr>
                <w:rStyle w:val="fontstyle01"/>
              </w:rPr>
              <w:t>'</w:t>
            </w:r>
            <w:r>
              <w:rPr>
                <w:rStyle w:val="fontstyle21"/>
              </w:rPr>
              <w:t xml:space="preserve">the data exporter' </w:t>
            </w:r>
            <w:r>
              <w:rPr>
                <w:rStyle w:val="fontstyle01"/>
              </w:rPr>
              <w:t>means the controller who transfers the personal data;</w:t>
            </w:r>
            <w:r>
              <w:rPr>
                <w:rFonts w:ascii="Calibri" w:hAnsi="Calibri" w:cs="Calibri"/>
                <w:color w:val="000000"/>
                <w:sz w:val="22"/>
                <w:szCs w:val="22"/>
              </w:rPr>
              <w:br/>
            </w:r>
            <w:r>
              <w:rPr>
                <w:rStyle w:val="fontstyle21"/>
              </w:rPr>
              <w:t xml:space="preserve">'the data importer' </w:t>
            </w:r>
            <w:r>
              <w:rPr>
                <w:rStyle w:val="fontstyle01"/>
              </w:rPr>
              <w:t>means the processor who agrees to receive from the data exporter personal</w:t>
            </w:r>
            <w:r>
              <w:rPr>
                <w:rFonts w:ascii="Calibri" w:hAnsi="Calibri" w:cs="Calibri"/>
                <w:color w:val="000000"/>
                <w:sz w:val="22"/>
                <w:szCs w:val="22"/>
              </w:rPr>
              <w:br/>
            </w:r>
            <w:r>
              <w:rPr>
                <w:rStyle w:val="fontstyle01"/>
              </w:rPr>
              <w:t>data intended for processing on his behalf after the transfer in accordance with his instructions and</w:t>
            </w:r>
            <w:r>
              <w:rPr>
                <w:rFonts w:ascii="Calibri" w:hAnsi="Calibri" w:cs="Calibri"/>
                <w:color w:val="000000"/>
                <w:sz w:val="22"/>
                <w:szCs w:val="22"/>
              </w:rPr>
              <w:br/>
            </w:r>
            <w:r>
              <w:rPr>
                <w:rStyle w:val="fontstyle01"/>
              </w:rPr>
              <w:t>the terms of the Clauses and who is not subject to a third country's system ensuring adequate</w:t>
            </w:r>
            <w:r>
              <w:rPr>
                <w:rFonts w:ascii="Calibri" w:hAnsi="Calibri" w:cs="Calibri"/>
                <w:color w:val="000000"/>
                <w:sz w:val="22"/>
                <w:szCs w:val="22"/>
              </w:rPr>
              <w:br/>
            </w:r>
            <w:r>
              <w:rPr>
                <w:rStyle w:val="fontstyle01"/>
              </w:rPr>
              <w:t>protection within the meaning of Article 25(1) of Directive 95/46/EC;</w:t>
            </w:r>
            <w:r>
              <w:rPr>
                <w:rFonts w:ascii="Calibri" w:hAnsi="Calibri" w:cs="Calibri"/>
                <w:color w:val="000000"/>
                <w:sz w:val="22"/>
                <w:szCs w:val="22"/>
              </w:rPr>
              <w:br/>
            </w:r>
            <w:r>
              <w:rPr>
                <w:rStyle w:val="fontstyle21"/>
              </w:rPr>
              <w:t xml:space="preserve">'the </w:t>
            </w:r>
            <w:proofErr w:type="spellStart"/>
            <w:r>
              <w:rPr>
                <w:rStyle w:val="fontstyle21"/>
              </w:rPr>
              <w:t>subprocessor</w:t>
            </w:r>
            <w:proofErr w:type="spellEnd"/>
            <w:r>
              <w:rPr>
                <w:rStyle w:val="fontstyle21"/>
              </w:rPr>
              <w:t xml:space="preserve">' </w:t>
            </w:r>
            <w:r>
              <w:rPr>
                <w:rStyle w:val="fontstyle01"/>
              </w:rPr>
              <w:t>means any processor engaged by the data importer or by any o</w:t>
            </w:r>
            <w:r>
              <w:rPr>
                <w:rStyle w:val="fontstyle01"/>
              </w:rPr>
              <w:t>ther</w:t>
            </w:r>
          </w:p>
        </w:tc>
      </w:tr>
      <w:tr w:rsidR="004628BB" w14:paraId="5B39DC84" w14:textId="77777777">
        <w:tc>
          <w:tcPr>
            <w:tcW w:w="675" w:type="dxa"/>
            <w:tcBorders>
              <w:top w:val="single" w:sz="4" w:space="0" w:color="auto"/>
              <w:left w:val="single" w:sz="4" w:space="0" w:color="auto"/>
              <w:bottom w:val="single" w:sz="4" w:space="0" w:color="auto"/>
              <w:right w:val="single" w:sz="4" w:space="0" w:color="auto"/>
            </w:tcBorders>
            <w:vAlign w:val="center"/>
          </w:tcPr>
          <w:p w14:paraId="5B39DC82" w14:textId="77777777" w:rsidR="004628BB" w:rsidRDefault="002C5754">
            <w:r>
              <w:rPr>
                <w:rStyle w:val="fontstyle01"/>
              </w:rPr>
              <w:t xml:space="preserve">(d) </w:t>
            </w:r>
          </w:p>
        </w:tc>
        <w:tc>
          <w:tcPr>
            <w:tcW w:w="0" w:type="auto"/>
            <w:vAlign w:val="center"/>
          </w:tcPr>
          <w:p w14:paraId="5B39DC83" w14:textId="77777777" w:rsidR="004628BB" w:rsidRDefault="004628BB">
            <w:pPr>
              <w:rPr>
                <w:sz w:val="20"/>
                <w:szCs w:val="20"/>
              </w:rPr>
            </w:pPr>
          </w:p>
        </w:tc>
      </w:tr>
    </w:tbl>
    <w:p w14:paraId="5B39DC85" w14:textId="77777777" w:rsidR="004628BB" w:rsidRDefault="004628BB">
      <w:pPr>
        <w:rPr>
          <w:rStyle w:val="fontstyle01"/>
        </w:rPr>
      </w:pPr>
    </w:p>
    <w:p w14:paraId="5B39DC86" w14:textId="77777777" w:rsidR="004628BB" w:rsidRDefault="002C5754">
      <w:pPr>
        <w:rPr>
          <w:rStyle w:val="fontstyle01"/>
        </w:rPr>
      </w:pPr>
      <w:proofErr w:type="spellStart"/>
      <w:r>
        <w:rPr>
          <w:rStyle w:val="fontstyle01"/>
        </w:rPr>
        <w:t>Subprocessor</w:t>
      </w:r>
      <w:proofErr w:type="spellEnd"/>
      <w:r>
        <w:rPr>
          <w:rStyle w:val="fontstyle01"/>
        </w:rPr>
        <w:t xml:space="preserve"> of the data importer who agrees to receive from the data importer or from any other </w:t>
      </w:r>
      <w:proofErr w:type="spellStart"/>
      <w:r>
        <w:rPr>
          <w:rStyle w:val="fontstyle01"/>
        </w:rPr>
        <w:t>subprocessor</w:t>
      </w:r>
      <w:proofErr w:type="spellEnd"/>
      <w:r>
        <w:rPr>
          <w:rStyle w:val="fontstyle01"/>
        </w:rPr>
        <w:t xml:space="preserve"> of the data importer personal data </w:t>
      </w:r>
      <w:r>
        <w:rPr>
          <w:rStyle w:val="fontstyle01"/>
        </w:rPr>
        <w:t xml:space="preserve">exclusively intended for processing activities to be carried out on behalf of the data exporter after the transfer in accordance with his instructions, the terms of the Clauses and the terms of the written </w:t>
      </w:r>
      <w:proofErr w:type="gramStart"/>
      <w:r>
        <w:rPr>
          <w:rStyle w:val="fontstyle01"/>
        </w:rPr>
        <w:t>subcontract;</w:t>
      </w:r>
      <w:proofErr w:type="gramEnd"/>
    </w:p>
    <w:tbl>
      <w:tblPr>
        <w:tblW w:w="89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0"/>
        <w:gridCol w:w="8250"/>
      </w:tblGrid>
      <w:tr w:rsidR="004628BB" w14:paraId="5B39DC89" w14:textId="77777777">
        <w:tc>
          <w:tcPr>
            <w:tcW w:w="660" w:type="dxa"/>
            <w:tcBorders>
              <w:top w:val="single" w:sz="4" w:space="0" w:color="auto"/>
              <w:left w:val="single" w:sz="4" w:space="0" w:color="auto"/>
              <w:bottom w:val="single" w:sz="4" w:space="0" w:color="auto"/>
              <w:right w:val="single" w:sz="4" w:space="0" w:color="auto"/>
            </w:tcBorders>
            <w:vAlign w:val="center"/>
          </w:tcPr>
          <w:p w14:paraId="5B39DC87" w14:textId="77777777" w:rsidR="004628BB" w:rsidRDefault="002C5754">
            <w:r>
              <w:rPr>
                <w:rStyle w:val="fontstyle01"/>
              </w:rPr>
              <w:t xml:space="preserve">(e) </w:t>
            </w:r>
          </w:p>
        </w:tc>
        <w:tc>
          <w:tcPr>
            <w:tcW w:w="8250" w:type="dxa"/>
            <w:tcBorders>
              <w:top w:val="single" w:sz="4" w:space="0" w:color="auto"/>
              <w:left w:val="single" w:sz="4" w:space="0" w:color="auto"/>
              <w:bottom w:val="single" w:sz="4" w:space="0" w:color="auto"/>
              <w:right w:val="single" w:sz="4" w:space="0" w:color="auto"/>
            </w:tcBorders>
            <w:vAlign w:val="center"/>
          </w:tcPr>
          <w:p w14:paraId="5B39DC88" w14:textId="77777777" w:rsidR="004628BB" w:rsidRDefault="002C5754">
            <w:r>
              <w:rPr>
                <w:rStyle w:val="fontstyle01"/>
              </w:rPr>
              <w:t>'</w:t>
            </w:r>
            <w:proofErr w:type="gramStart"/>
            <w:r>
              <w:rPr>
                <w:rStyle w:val="fontstyle21"/>
              </w:rPr>
              <w:t>the</w:t>
            </w:r>
            <w:proofErr w:type="gramEnd"/>
            <w:r>
              <w:rPr>
                <w:rStyle w:val="fontstyle21"/>
              </w:rPr>
              <w:t xml:space="preserve"> applicable data protection law</w:t>
            </w:r>
            <w:r>
              <w:rPr>
                <w:rStyle w:val="fontstyle31"/>
              </w:rPr>
              <w:t xml:space="preserve">' </w:t>
            </w:r>
            <w:r>
              <w:rPr>
                <w:rStyle w:val="fontstyle01"/>
              </w:rPr>
              <w:t>means the legislation protecting the fundamental rights and</w:t>
            </w:r>
            <w:r>
              <w:rPr>
                <w:rFonts w:ascii="Calibri" w:hAnsi="Calibri" w:cs="Calibri"/>
                <w:color w:val="000000"/>
                <w:sz w:val="22"/>
                <w:szCs w:val="22"/>
              </w:rPr>
              <w:br/>
            </w:r>
            <w:r>
              <w:rPr>
                <w:rStyle w:val="fontstyle01"/>
              </w:rPr>
              <w:t>freedoms of individuals and, in particular, their right to privacy with respect to the processing of</w:t>
            </w:r>
          </w:p>
        </w:tc>
      </w:tr>
    </w:tbl>
    <w:p w14:paraId="5B39DC8A" w14:textId="77777777" w:rsidR="004628BB" w:rsidRDefault="004628BB">
      <w:pPr>
        <w:rPr>
          <w:rStyle w:val="fontstyle01"/>
        </w:rPr>
      </w:pPr>
    </w:p>
    <w:p w14:paraId="5B39DC8B" w14:textId="77777777" w:rsidR="004628BB" w:rsidRDefault="002C5754">
      <w:r>
        <w:rPr>
          <w:rStyle w:val="fontstyle01"/>
        </w:rPr>
        <w:t xml:space="preserve">Personal data applicable to a data controller in the Member State in which the data </w:t>
      </w:r>
      <w:r>
        <w:rPr>
          <w:rStyle w:val="fontstyle01"/>
        </w:rPr>
        <w:t xml:space="preserve">exporter is </w:t>
      </w:r>
      <w:proofErr w:type="gramStart"/>
      <w:r>
        <w:rPr>
          <w:rStyle w:val="fontstyle01"/>
        </w:rPr>
        <w:t>established;</w:t>
      </w:r>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5"/>
        <w:gridCol w:w="8250"/>
      </w:tblGrid>
      <w:tr w:rsidR="004628BB" w14:paraId="5B39DC8E" w14:textId="77777777">
        <w:tc>
          <w:tcPr>
            <w:tcW w:w="645" w:type="dxa"/>
            <w:tcBorders>
              <w:top w:val="single" w:sz="4" w:space="0" w:color="auto"/>
              <w:left w:val="single" w:sz="4" w:space="0" w:color="auto"/>
              <w:bottom w:val="single" w:sz="4" w:space="0" w:color="auto"/>
              <w:right w:val="single" w:sz="4" w:space="0" w:color="auto"/>
            </w:tcBorders>
            <w:vAlign w:val="center"/>
          </w:tcPr>
          <w:p w14:paraId="5B39DC8C" w14:textId="77777777" w:rsidR="004628BB" w:rsidRDefault="002C5754">
            <w:r>
              <w:rPr>
                <w:rStyle w:val="fontstyle01"/>
              </w:rPr>
              <w:t xml:space="preserve">(f) </w:t>
            </w:r>
          </w:p>
        </w:tc>
        <w:tc>
          <w:tcPr>
            <w:tcW w:w="8250" w:type="dxa"/>
            <w:tcBorders>
              <w:top w:val="single" w:sz="4" w:space="0" w:color="auto"/>
              <w:left w:val="single" w:sz="4" w:space="0" w:color="auto"/>
              <w:bottom w:val="single" w:sz="4" w:space="0" w:color="auto"/>
              <w:right w:val="single" w:sz="4" w:space="0" w:color="auto"/>
            </w:tcBorders>
            <w:vAlign w:val="center"/>
          </w:tcPr>
          <w:p w14:paraId="5B39DC8D" w14:textId="77777777" w:rsidR="004628BB" w:rsidRDefault="002C5754">
            <w:r>
              <w:rPr>
                <w:rStyle w:val="fontstyle21"/>
              </w:rPr>
              <w:t>'</w:t>
            </w:r>
            <w:proofErr w:type="gramStart"/>
            <w:r>
              <w:rPr>
                <w:rStyle w:val="fontstyle21"/>
              </w:rPr>
              <w:t>technical</w:t>
            </w:r>
            <w:proofErr w:type="gramEnd"/>
            <w:r>
              <w:rPr>
                <w:rStyle w:val="fontstyle21"/>
              </w:rPr>
              <w:t xml:space="preserve"> and organisational security measures' </w:t>
            </w:r>
            <w:r>
              <w:rPr>
                <w:rStyle w:val="fontstyle01"/>
              </w:rPr>
              <w:t>means those measures aimed at protecting</w:t>
            </w:r>
            <w:r>
              <w:rPr>
                <w:rFonts w:ascii="Calibri" w:hAnsi="Calibri" w:cs="Calibri"/>
                <w:color w:val="000000"/>
                <w:sz w:val="22"/>
                <w:szCs w:val="22"/>
              </w:rPr>
              <w:br/>
            </w:r>
            <w:r>
              <w:rPr>
                <w:rStyle w:val="fontstyle01"/>
              </w:rPr>
              <w:t>personal data against accidental or unlawful destruction or accidental loss, alteration,</w:t>
            </w:r>
          </w:p>
        </w:tc>
      </w:tr>
    </w:tbl>
    <w:p w14:paraId="5B39DC8F" w14:textId="77777777" w:rsidR="004628BB" w:rsidRDefault="002C5754">
      <w:pPr>
        <w:rPr>
          <w:rFonts w:ascii="Calibri" w:hAnsi="Calibri" w:cs="Calibri"/>
          <w:color w:val="000000"/>
          <w:sz w:val="22"/>
          <w:szCs w:val="22"/>
        </w:rPr>
      </w:pPr>
      <w:r>
        <w:rPr>
          <w:rStyle w:val="fontstyle01"/>
        </w:rPr>
        <w:t xml:space="preserve">Unauthorised disclosure or access, </w:t>
      </w:r>
      <w:proofErr w:type="gramStart"/>
      <w:r>
        <w:rPr>
          <w:rStyle w:val="fontstyle01"/>
        </w:rPr>
        <w:t>in particular where</w:t>
      </w:r>
      <w:proofErr w:type="gramEnd"/>
      <w:r>
        <w:rPr>
          <w:rStyle w:val="fontstyle01"/>
        </w:rPr>
        <w:t xml:space="preserve"> the processing involves the transmission of data over a network, and against all other unlawful forms of processing.</w:t>
      </w:r>
    </w:p>
    <w:p w14:paraId="5B39DC90" w14:textId="77777777" w:rsidR="004628BB" w:rsidRDefault="002C5754">
      <w:pPr>
        <w:rPr>
          <w:rStyle w:val="fontstyle21"/>
        </w:rPr>
      </w:pPr>
      <w:r>
        <w:rPr>
          <w:rFonts w:ascii="TimesNewRomanPSMT" w:hAnsi="TimesNewRomanPSMT"/>
          <w:color w:val="000000"/>
        </w:rPr>
        <w:lastRenderedPageBreak/>
        <w:br/>
      </w:r>
      <w:r>
        <w:rPr>
          <w:rStyle w:val="fontstyle21"/>
        </w:rPr>
        <w:t>Clause 2</w:t>
      </w:r>
      <w:r>
        <w:rPr>
          <w:rFonts w:ascii="Calibri-Italic" w:hAnsi="Calibri-Italic"/>
          <w:i/>
          <w:iCs/>
          <w:color w:val="000000"/>
          <w:sz w:val="22"/>
          <w:szCs w:val="22"/>
        </w:rPr>
        <w:br/>
      </w:r>
      <w:r>
        <w:rPr>
          <w:rStyle w:val="fontstyle31"/>
        </w:rPr>
        <w:t>Details of the transfer</w:t>
      </w:r>
      <w:r>
        <w:rPr>
          <w:rFonts w:ascii="Calibri-BoldItalic" w:hAnsi="Calibri-BoldItalic"/>
          <w:b/>
          <w:bCs/>
          <w:i/>
          <w:iCs/>
          <w:color w:val="000000"/>
          <w:sz w:val="22"/>
          <w:szCs w:val="22"/>
        </w:rPr>
        <w:br/>
      </w:r>
      <w:r>
        <w:rPr>
          <w:rStyle w:val="fontstyle01"/>
        </w:rPr>
        <w:t xml:space="preserve">The details of the transfer and in particular the special categories of personal data where </w:t>
      </w:r>
      <w:r>
        <w:rPr>
          <w:rStyle w:val="fontstyle01"/>
        </w:rPr>
        <w:t>applicable are specified in Appendix 1 which forms an integral part of the Clauses.</w:t>
      </w:r>
      <w:r>
        <w:rPr>
          <w:rFonts w:ascii="Calibri" w:hAnsi="Calibri" w:cs="Calibri"/>
          <w:color w:val="000000"/>
          <w:sz w:val="22"/>
          <w:szCs w:val="22"/>
        </w:rPr>
        <w:br/>
      </w:r>
    </w:p>
    <w:p w14:paraId="5B39DC91" w14:textId="77777777" w:rsidR="004628BB" w:rsidRDefault="002C5754">
      <w:pPr>
        <w:rPr>
          <w:rStyle w:val="fontstyle01"/>
        </w:rPr>
      </w:pPr>
      <w:r>
        <w:rPr>
          <w:rStyle w:val="fontstyle21"/>
        </w:rPr>
        <w:t>Clause 3</w:t>
      </w:r>
      <w:r>
        <w:rPr>
          <w:rFonts w:ascii="Calibri-Italic" w:hAnsi="Calibri-Italic"/>
          <w:i/>
          <w:iCs/>
          <w:color w:val="000000"/>
          <w:sz w:val="22"/>
          <w:szCs w:val="22"/>
        </w:rPr>
        <w:br/>
      </w:r>
      <w:r>
        <w:rPr>
          <w:rStyle w:val="fontstyle31"/>
        </w:rPr>
        <w:t>Third-party beneficiary clause</w:t>
      </w:r>
      <w:r>
        <w:rPr>
          <w:rFonts w:ascii="Calibri-BoldItalic" w:hAnsi="Calibri-BoldItalic"/>
          <w:b/>
          <w:bCs/>
          <w:i/>
          <w:iCs/>
          <w:color w:val="000000"/>
          <w:sz w:val="22"/>
          <w:szCs w:val="22"/>
        </w:rPr>
        <w:br/>
      </w:r>
      <w:r>
        <w:rPr>
          <w:rStyle w:val="fontstyle01"/>
        </w:rPr>
        <w:t>1. The data subject can enforce against the data exporter this Clause, Clause 4(b) to (</w:t>
      </w:r>
      <w:proofErr w:type="spellStart"/>
      <w:r>
        <w:rPr>
          <w:rStyle w:val="fontstyle01"/>
        </w:rPr>
        <w:t>i</w:t>
      </w:r>
      <w:proofErr w:type="spellEnd"/>
      <w:r>
        <w:rPr>
          <w:rStyle w:val="fontstyle01"/>
        </w:rPr>
        <w:t>), Clause 5(a) to (e), and (g) to (j), Clause 6(1) and (2), Clause 7, Clause 8(2), and Clauses 9 to 12 as third-party beneficiary.</w:t>
      </w:r>
    </w:p>
    <w:p w14:paraId="5B39DC92" w14:textId="77777777" w:rsidR="004628BB" w:rsidRDefault="002C5754">
      <w:pPr>
        <w:rPr>
          <w:rStyle w:val="fontstyle01"/>
        </w:rPr>
      </w:pPr>
      <w:r>
        <w:rPr>
          <w:rFonts w:ascii="Calibri" w:hAnsi="Calibri" w:cs="Calibri"/>
          <w:color w:val="000000"/>
          <w:sz w:val="22"/>
          <w:szCs w:val="22"/>
        </w:rPr>
        <w:br/>
      </w:r>
      <w:r>
        <w:rPr>
          <w:rStyle w:val="fontstyle01"/>
        </w:rPr>
        <w:t>2. The data subject can enforce against the data importer this Clause, Clause 5(a) to (e) and (g), Clause 6, Clause 7, Clause 8(2), and Clauses 9 to 12, in cases where the data exporter has factually disappeared or has ceased to exist in law unless any successor entity has assumed the entire legal obligations of the data exporter by contract or by operation of law, as a result of which it takes on the rights and obligations of the data exporter, in which case the data subject can enforce them against such e</w:t>
      </w:r>
      <w:r>
        <w:rPr>
          <w:rStyle w:val="fontstyle01"/>
        </w:rPr>
        <w:t>ntity.</w:t>
      </w:r>
    </w:p>
    <w:p w14:paraId="5B39DC93" w14:textId="77777777" w:rsidR="004628BB" w:rsidRDefault="002C5754">
      <w:pPr>
        <w:rPr>
          <w:rStyle w:val="fontstyle01"/>
        </w:rPr>
      </w:pPr>
      <w:r>
        <w:rPr>
          <w:rFonts w:ascii="Calibri" w:hAnsi="Calibri" w:cs="Calibri"/>
          <w:color w:val="000000"/>
          <w:sz w:val="22"/>
          <w:szCs w:val="22"/>
        </w:rPr>
        <w:br/>
      </w:r>
      <w:r>
        <w:rPr>
          <w:rStyle w:val="fontstyle01"/>
        </w:rPr>
        <w:t xml:space="preserve">3. The data subject can enforce against the </w:t>
      </w:r>
      <w:proofErr w:type="spellStart"/>
      <w:r>
        <w:rPr>
          <w:rStyle w:val="fontstyle01"/>
        </w:rPr>
        <w:t>subprocessor</w:t>
      </w:r>
      <w:proofErr w:type="spellEnd"/>
      <w:r>
        <w:rPr>
          <w:rStyle w:val="fontstyle01"/>
        </w:rPr>
        <w:t xml:space="preserve"> this Clause, Clause 5(a) to (e) and (g), Clause 6, Clause 7, Clause 8(2), and Clauses 9 to 12, in cases where both the data exporter and the data importer have factually disappeared or ceased to exist in law or have become insolvent, unless any successor entity has assumed the entire legal obligations of the data exporter by contract or by operation of law as a result of which it takes on the rights and obligations of the data exporter, in which case </w:t>
      </w:r>
      <w:r>
        <w:rPr>
          <w:rStyle w:val="fontstyle01"/>
        </w:rPr>
        <w:t xml:space="preserve">the data subject can enforce them against such entity. Such third-party liability of the </w:t>
      </w:r>
      <w:proofErr w:type="spellStart"/>
      <w:r>
        <w:rPr>
          <w:rStyle w:val="fontstyle01"/>
        </w:rPr>
        <w:t>subprocessor</w:t>
      </w:r>
      <w:proofErr w:type="spellEnd"/>
      <w:r>
        <w:rPr>
          <w:rStyle w:val="fontstyle01"/>
        </w:rPr>
        <w:t xml:space="preserve"> shall be limited to its own processing operations under the Clauses.</w:t>
      </w:r>
    </w:p>
    <w:p w14:paraId="5B39DC94" w14:textId="77777777" w:rsidR="004628BB" w:rsidRDefault="002C5754">
      <w:pPr>
        <w:rPr>
          <w:rStyle w:val="fontstyle01"/>
        </w:rPr>
      </w:pPr>
      <w:r>
        <w:rPr>
          <w:rFonts w:ascii="Calibri" w:hAnsi="Calibri" w:cs="Calibri"/>
          <w:color w:val="000000"/>
          <w:sz w:val="22"/>
          <w:szCs w:val="22"/>
        </w:rPr>
        <w:br/>
      </w:r>
      <w:r>
        <w:rPr>
          <w:rStyle w:val="fontstyle01"/>
        </w:rPr>
        <w:t xml:space="preserve">4. The parties do not object to a data subject being represented by an association or other body if the data subject so expressly wishes and if permitted by national law. </w:t>
      </w:r>
    </w:p>
    <w:p w14:paraId="5B39DC95" w14:textId="77777777" w:rsidR="004628BB" w:rsidRDefault="002C5754">
      <w:r>
        <w:rPr>
          <w:rFonts w:ascii="Calibri" w:hAnsi="Calibri" w:cs="Calibri"/>
          <w:color w:val="000000"/>
          <w:sz w:val="22"/>
          <w:szCs w:val="22"/>
        </w:rPr>
        <w:br/>
      </w:r>
      <w:r>
        <w:rPr>
          <w:rStyle w:val="fontstyle21"/>
        </w:rPr>
        <w:t>Clause 4</w:t>
      </w:r>
      <w:r>
        <w:rPr>
          <w:rFonts w:ascii="Calibri-Italic" w:hAnsi="Calibri-Italic"/>
          <w:i/>
          <w:iCs/>
          <w:color w:val="000000"/>
          <w:sz w:val="22"/>
          <w:szCs w:val="22"/>
        </w:rPr>
        <w:br/>
      </w:r>
      <w:r>
        <w:rPr>
          <w:rStyle w:val="fontstyle31"/>
        </w:rPr>
        <w:t>Obligations of the data exporter</w:t>
      </w:r>
      <w:r>
        <w:rPr>
          <w:rFonts w:ascii="Calibri-BoldItalic" w:hAnsi="Calibri-BoldItalic"/>
          <w:b/>
          <w:bCs/>
          <w:i/>
          <w:iCs/>
          <w:color w:val="000000"/>
          <w:sz w:val="22"/>
          <w:szCs w:val="22"/>
        </w:rPr>
        <w:br/>
      </w:r>
      <w:r>
        <w:rPr>
          <w:rStyle w:val="fontstyle01"/>
        </w:rPr>
        <w:t>The data exporter agrees and warrants: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0"/>
        <w:gridCol w:w="8250"/>
      </w:tblGrid>
      <w:tr w:rsidR="004628BB" w14:paraId="5B39DC98" w14:textId="77777777">
        <w:tc>
          <w:tcPr>
            <w:tcW w:w="660" w:type="dxa"/>
            <w:tcBorders>
              <w:top w:val="single" w:sz="4" w:space="0" w:color="auto"/>
              <w:left w:val="single" w:sz="4" w:space="0" w:color="auto"/>
              <w:bottom w:val="single" w:sz="4" w:space="0" w:color="auto"/>
              <w:right w:val="single" w:sz="4" w:space="0" w:color="auto"/>
            </w:tcBorders>
            <w:vAlign w:val="center"/>
          </w:tcPr>
          <w:p w14:paraId="5B39DC96" w14:textId="77777777" w:rsidR="004628BB" w:rsidRDefault="002C5754">
            <w:r>
              <w:rPr>
                <w:rStyle w:val="fontstyle01"/>
              </w:rPr>
              <w:t xml:space="preserve">(a) </w:t>
            </w:r>
          </w:p>
        </w:tc>
        <w:tc>
          <w:tcPr>
            <w:tcW w:w="8250" w:type="dxa"/>
            <w:tcBorders>
              <w:top w:val="single" w:sz="4" w:space="0" w:color="auto"/>
              <w:left w:val="single" w:sz="4" w:space="0" w:color="auto"/>
              <w:bottom w:val="single" w:sz="4" w:space="0" w:color="auto"/>
              <w:right w:val="single" w:sz="4" w:space="0" w:color="auto"/>
            </w:tcBorders>
            <w:vAlign w:val="center"/>
          </w:tcPr>
          <w:p w14:paraId="5B39DC97" w14:textId="77777777" w:rsidR="004628BB" w:rsidRDefault="002C5754">
            <w:r>
              <w:rPr>
                <w:rStyle w:val="fontstyle01"/>
              </w:rPr>
              <w:t>that the processing, including the transfer itself, of the personal data has been and will continue</w:t>
            </w:r>
            <w:r>
              <w:rPr>
                <w:rFonts w:ascii="Calibri" w:hAnsi="Calibri" w:cs="Calibri"/>
                <w:color w:val="000000"/>
                <w:sz w:val="22"/>
                <w:szCs w:val="22"/>
              </w:rPr>
              <w:br/>
            </w:r>
            <w:r>
              <w:rPr>
                <w:rStyle w:val="fontstyle01"/>
              </w:rPr>
              <w:t>to be carried out in accordance with the relevant provisions of the applicable data protection law</w:t>
            </w:r>
          </w:p>
        </w:tc>
      </w:tr>
    </w:tbl>
    <w:p w14:paraId="5B39DC99" w14:textId="77777777" w:rsidR="004628BB" w:rsidRDefault="004628BB">
      <w:pPr>
        <w:rPr>
          <w:rStyle w:val="fontstyle01"/>
        </w:rPr>
      </w:pPr>
    </w:p>
    <w:p w14:paraId="5B39DC9A" w14:textId="77777777" w:rsidR="004628BB" w:rsidRDefault="002C5754">
      <w:r>
        <w:rPr>
          <w:rStyle w:val="fontstyle01"/>
        </w:rPr>
        <w:t xml:space="preserve">(and, where applicable, has been notified to the relevant authorities of the Member State where the data exporter is established) and does not violate the relevant provisions of that </w:t>
      </w:r>
      <w:proofErr w:type="gramStart"/>
      <w:r>
        <w:rPr>
          <w:rStyle w:val="fontstyle01"/>
        </w:rPr>
        <w:t>State;</w:t>
      </w:r>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7"/>
        <w:gridCol w:w="7639"/>
      </w:tblGrid>
      <w:tr w:rsidR="004628BB" w14:paraId="5B39DC9D" w14:textId="77777777">
        <w:tc>
          <w:tcPr>
            <w:tcW w:w="675" w:type="dxa"/>
            <w:tcBorders>
              <w:top w:val="single" w:sz="4" w:space="0" w:color="auto"/>
              <w:left w:val="single" w:sz="4" w:space="0" w:color="auto"/>
              <w:bottom w:val="single" w:sz="4" w:space="0" w:color="auto"/>
              <w:right w:val="single" w:sz="4" w:space="0" w:color="auto"/>
            </w:tcBorders>
            <w:vAlign w:val="center"/>
          </w:tcPr>
          <w:p w14:paraId="5B39DC9B" w14:textId="77777777" w:rsidR="004628BB" w:rsidRDefault="002C5754">
            <w:r>
              <w:rPr>
                <w:rStyle w:val="fontstyle01"/>
              </w:rPr>
              <w:t xml:space="preserve">(b) </w:t>
            </w:r>
          </w:p>
        </w:tc>
        <w:tc>
          <w:tcPr>
            <w:tcW w:w="8250" w:type="dxa"/>
            <w:tcBorders>
              <w:top w:val="single" w:sz="4" w:space="0" w:color="auto"/>
              <w:left w:val="single" w:sz="4" w:space="0" w:color="auto"/>
              <w:bottom w:val="single" w:sz="4" w:space="0" w:color="auto"/>
              <w:right w:val="single" w:sz="4" w:space="0" w:color="auto"/>
            </w:tcBorders>
            <w:vAlign w:val="center"/>
          </w:tcPr>
          <w:p w14:paraId="5B39DC9C" w14:textId="77777777" w:rsidR="004628BB" w:rsidRDefault="002C5754">
            <w:r>
              <w:rPr>
                <w:rStyle w:val="fontstyle01"/>
              </w:rPr>
              <w:t>that it has instructed and throughout the duration of the personal data processing services will</w:t>
            </w:r>
            <w:r>
              <w:rPr>
                <w:rFonts w:ascii="Calibri" w:hAnsi="Calibri" w:cs="Calibri"/>
                <w:color w:val="000000"/>
                <w:sz w:val="22"/>
                <w:szCs w:val="22"/>
              </w:rPr>
              <w:br/>
            </w:r>
            <w:r>
              <w:rPr>
                <w:rStyle w:val="fontstyle01"/>
              </w:rPr>
              <w:t>instruct the data importer to process the personal data transferred only on the data exporter's</w:t>
            </w:r>
            <w:r>
              <w:rPr>
                <w:rFonts w:ascii="Calibri" w:hAnsi="Calibri" w:cs="Calibri"/>
                <w:color w:val="000000"/>
                <w:sz w:val="22"/>
                <w:szCs w:val="22"/>
              </w:rPr>
              <w:br/>
            </w:r>
            <w:r>
              <w:rPr>
                <w:rStyle w:val="fontstyle01"/>
              </w:rPr>
              <w:t>behalf and in accordance with the applicable data protection law and the Clauses;</w:t>
            </w:r>
            <w:r>
              <w:rPr>
                <w:rFonts w:ascii="Calibri" w:hAnsi="Calibri" w:cs="Calibri"/>
                <w:color w:val="000000"/>
                <w:sz w:val="22"/>
                <w:szCs w:val="22"/>
              </w:rPr>
              <w:br/>
            </w:r>
            <w:r>
              <w:rPr>
                <w:rStyle w:val="fontstyle01"/>
              </w:rPr>
              <w:t>that the data importer will provide sufficient guarantees in respect of the technical and</w:t>
            </w:r>
          </w:p>
        </w:tc>
      </w:tr>
      <w:tr w:rsidR="004628BB" w14:paraId="5B39DCA0" w14:textId="77777777">
        <w:tc>
          <w:tcPr>
            <w:tcW w:w="675" w:type="dxa"/>
            <w:tcBorders>
              <w:top w:val="single" w:sz="4" w:space="0" w:color="auto"/>
              <w:left w:val="single" w:sz="4" w:space="0" w:color="auto"/>
              <w:bottom w:val="single" w:sz="4" w:space="0" w:color="auto"/>
              <w:right w:val="single" w:sz="4" w:space="0" w:color="auto"/>
            </w:tcBorders>
            <w:vAlign w:val="center"/>
          </w:tcPr>
          <w:p w14:paraId="5B39DC9E" w14:textId="77777777" w:rsidR="004628BB" w:rsidRDefault="002C5754">
            <w:r>
              <w:rPr>
                <w:rStyle w:val="fontstyle01"/>
              </w:rPr>
              <w:t xml:space="preserve">(c) </w:t>
            </w:r>
          </w:p>
        </w:tc>
        <w:tc>
          <w:tcPr>
            <w:tcW w:w="0" w:type="auto"/>
            <w:vAlign w:val="center"/>
          </w:tcPr>
          <w:p w14:paraId="5B39DC9F" w14:textId="77777777" w:rsidR="004628BB" w:rsidRDefault="004628BB">
            <w:pPr>
              <w:rPr>
                <w:sz w:val="20"/>
                <w:szCs w:val="20"/>
              </w:rPr>
            </w:pPr>
          </w:p>
        </w:tc>
      </w:tr>
    </w:tbl>
    <w:p w14:paraId="5B39DCA1" w14:textId="77777777" w:rsidR="004628BB" w:rsidRDefault="004628BB">
      <w:pPr>
        <w:rPr>
          <w:rStyle w:val="fontstyle01"/>
        </w:rPr>
      </w:pPr>
    </w:p>
    <w:p w14:paraId="5B39DCA2" w14:textId="77777777" w:rsidR="004628BB" w:rsidRDefault="002C5754">
      <w:r>
        <w:rPr>
          <w:rStyle w:val="fontstyle01"/>
        </w:rPr>
        <w:lastRenderedPageBreak/>
        <w:t>organisational security measures specified in Appendix 2 to this contract;</w:t>
      </w:r>
      <w:r>
        <w:rPr>
          <w:rFonts w:ascii="Calibri" w:hAnsi="Calibri" w:cs="Calibri"/>
          <w:color w:val="000000"/>
          <w:sz w:val="22"/>
          <w:szCs w:val="22"/>
        </w:rPr>
        <w:br/>
      </w:r>
      <w:r>
        <w:rPr>
          <w:rFonts w:ascii="TimesNewRomanPSMT" w:hAnsi="TimesNewRomanPSMT"/>
          <w:color w:val="000000"/>
        </w:rPr>
        <w:br/>
      </w:r>
      <w:r>
        <w:rPr>
          <w:rStyle w:val="fontstyle01"/>
        </w:rPr>
        <w:t xml:space="preserve">(d) that after assessment of the requirements of the applicable data protection law, the security measures are appropriate to protect personal data against </w:t>
      </w:r>
      <w:r>
        <w:rPr>
          <w:rStyle w:val="fontstyle01"/>
        </w:rPr>
        <w:t>accidental or unlawful destruction or accidental loss, alteration, unauthorised disclosure or access, in particular where the processing involves the transmission of data over a network, and against all other unlawful forms of processing, and that these measures ensure a level of security appropriate to the risks presented by the processing and the nature of the data to be protected having regard to the state of the art and the cost of their implementation;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6"/>
        <w:gridCol w:w="7640"/>
      </w:tblGrid>
      <w:tr w:rsidR="004628BB" w14:paraId="5B39DCA5" w14:textId="77777777">
        <w:tc>
          <w:tcPr>
            <w:tcW w:w="675" w:type="dxa"/>
            <w:tcBorders>
              <w:top w:val="single" w:sz="4" w:space="0" w:color="auto"/>
              <w:left w:val="single" w:sz="4" w:space="0" w:color="auto"/>
              <w:bottom w:val="single" w:sz="4" w:space="0" w:color="auto"/>
              <w:right w:val="single" w:sz="4" w:space="0" w:color="auto"/>
            </w:tcBorders>
            <w:vAlign w:val="center"/>
          </w:tcPr>
          <w:p w14:paraId="5B39DCA3" w14:textId="77777777" w:rsidR="004628BB" w:rsidRDefault="002C5754">
            <w:r>
              <w:rPr>
                <w:rStyle w:val="fontstyle01"/>
              </w:rPr>
              <w:t xml:space="preserve">(e) </w:t>
            </w:r>
            <w:r>
              <w:rPr>
                <w:rFonts w:ascii="Calibri" w:hAnsi="Calibri" w:cs="Calibri"/>
                <w:color w:val="000000"/>
                <w:sz w:val="22"/>
                <w:szCs w:val="22"/>
              </w:rPr>
              <w:br/>
            </w:r>
            <w:r>
              <w:rPr>
                <w:rStyle w:val="fontstyle01"/>
              </w:rPr>
              <w:t xml:space="preserve">(f) </w:t>
            </w:r>
          </w:p>
        </w:tc>
        <w:tc>
          <w:tcPr>
            <w:tcW w:w="8250" w:type="dxa"/>
            <w:tcBorders>
              <w:top w:val="single" w:sz="4" w:space="0" w:color="auto"/>
              <w:left w:val="single" w:sz="4" w:space="0" w:color="auto"/>
              <w:bottom w:val="single" w:sz="4" w:space="0" w:color="auto"/>
              <w:right w:val="single" w:sz="4" w:space="0" w:color="auto"/>
            </w:tcBorders>
            <w:vAlign w:val="center"/>
          </w:tcPr>
          <w:p w14:paraId="5B39DCA4" w14:textId="77777777" w:rsidR="004628BB" w:rsidRDefault="002C5754">
            <w:r>
              <w:rPr>
                <w:rStyle w:val="fontstyle01"/>
              </w:rPr>
              <w:t>that it will ensure compliance with the security measures;</w:t>
            </w:r>
            <w:r>
              <w:rPr>
                <w:rFonts w:ascii="Calibri" w:hAnsi="Calibri" w:cs="Calibri"/>
                <w:color w:val="000000"/>
                <w:sz w:val="22"/>
                <w:szCs w:val="22"/>
              </w:rPr>
              <w:br/>
            </w:r>
            <w:r>
              <w:rPr>
                <w:rStyle w:val="fontstyle01"/>
              </w:rPr>
              <w:t>that, if the transfer involves special categories of data, the data subject has been informed or will</w:t>
            </w:r>
            <w:r>
              <w:rPr>
                <w:rFonts w:ascii="Calibri" w:hAnsi="Calibri" w:cs="Calibri"/>
                <w:color w:val="000000"/>
                <w:sz w:val="22"/>
                <w:szCs w:val="22"/>
              </w:rPr>
              <w:br/>
            </w:r>
            <w:r>
              <w:rPr>
                <w:rStyle w:val="fontstyle01"/>
              </w:rPr>
              <w:t>be informed before, or as soon as possible after, the transfer that its data could be transmitted</w:t>
            </w:r>
            <w:r>
              <w:rPr>
                <w:rFonts w:ascii="Calibri" w:hAnsi="Calibri" w:cs="Calibri"/>
                <w:color w:val="000000"/>
                <w:sz w:val="22"/>
                <w:szCs w:val="22"/>
              </w:rPr>
              <w:br/>
            </w:r>
            <w:r>
              <w:rPr>
                <w:rStyle w:val="fontstyle01"/>
              </w:rPr>
              <w:t xml:space="preserve">to a third country not </w:t>
            </w:r>
            <w:r>
              <w:rPr>
                <w:rStyle w:val="fontstyle01"/>
              </w:rPr>
              <w:t>providing adequate protection within the meaning of Directive 95/46/EC;</w:t>
            </w:r>
            <w:r>
              <w:rPr>
                <w:rFonts w:ascii="Calibri" w:hAnsi="Calibri" w:cs="Calibri"/>
                <w:color w:val="000000"/>
                <w:sz w:val="22"/>
                <w:szCs w:val="22"/>
              </w:rPr>
              <w:br/>
            </w:r>
            <w:r>
              <w:rPr>
                <w:rStyle w:val="fontstyle01"/>
              </w:rPr>
              <w:t xml:space="preserve">to forward any notification received from the data importer or any </w:t>
            </w:r>
            <w:proofErr w:type="spellStart"/>
            <w:r>
              <w:rPr>
                <w:rStyle w:val="fontstyle01"/>
              </w:rPr>
              <w:t>subprocessor</w:t>
            </w:r>
            <w:proofErr w:type="spellEnd"/>
            <w:r>
              <w:rPr>
                <w:rStyle w:val="fontstyle01"/>
              </w:rPr>
              <w:t xml:space="preserve"> pursuant to</w:t>
            </w:r>
            <w:r>
              <w:rPr>
                <w:rFonts w:ascii="Calibri" w:hAnsi="Calibri" w:cs="Calibri"/>
                <w:color w:val="000000"/>
                <w:sz w:val="22"/>
                <w:szCs w:val="22"/>
              </w:rPr>
              <w:br/>
            </w:r>
            <w:r>
              <w:rPr>
                <w:rStyle w:val="fontstyle01"/>
              </w:rPr>
              <w:t>Clause 5(b) and Clause 8(3) to the data protection supervisory authority if the data exporter</w:t>
            </w:r>
            <w:r>
              <w:rPr>
                <w:rFonts w:ascii="Calibri" w:hAnsi="Calibri" w:cs="Calibri"/>
                <w:color w:val="000000"/>
                <w:sz w:val="22"/>
                <w:szCs w:val="22"/>
              </w:rPr>
              <w:br/>
            </w:r>
            <w:r>
              <w:rPr>
                <w:rStyle w:val="fontstyle01"/>
              </w:rPr>
              <w:t>decides to continue the transfer or to lift the suspension;</w:t>
            </w:r>
            <w:r>
              <w:rPr>
                <w:rFonts w:ascii="Calibri" w:hAnsi="Calibri" w:cs="Calibri"/>
                <w:color w:val="000000"/>
                <w:sz w:val="22"/>
                <w:szCs w:val="22"/>
              </w:rPr>
              <w:br/>
            </w:r>
            <w:r>
              <w:rPr>
                <w:rStyle w:val="fontstyle01"/>
              </w:rPr>
              <w:t>to make available to the data subjects upon request a copy of the Clauses, with the exception of</w:t>
            </w:r>
          </w:p>
        </w:tc>
      </w:tr>
      <w:tr w:rsidR="004628BB" w14:paraId="5B39DCA8" w14:textId="77777777">
        <w:tc>
          <w:tcPr>
            <w:tcW w:w="675" w:type="dxa"/>
            <w:tcBorders>
              <w:top w:val="single" w:sz="4" w:space="0" w:color="auto"/>
              <w:left w:val="single" w:sz="4" w:space="0" w:color="auto"/>
              <w:bottom w:val="single" w:sz="4" w:space="0" w:color="auto"/>
              <w:right w:val="single" w:sz="4" w:space="0" w:color="auto"/>
            </w:tcBorders>
            <w:vAlign w:val="center"/>
          </w:tcPr>
          <w:p w14:paraId="5B39DCA6" w14:textId="77777777" w:rsidR="004628BB" w:rsidRDefault="002C5754">
            <w:r>
              <w:rPr>
                <w:rStyle w:val="fontstyle01"/>
              </w:rPr>
              <w:t xml:space="preserve">(g) </w:t>
            </w:r>
          </w:p>
        </w:tc>
        <w:tc>
          <w:tcPr>
            <w:tcW w:w="0" w:type="auto"/>
            <w:vAlign w:val="center"/>
          </w:tcPr>
          <w:p w14:paraId="5B39DCA7" w14:textId="77777777" w:rsidR="004628BB" w:rsidRDefault="004628BB">
            <w:pPr>
              <w:rPr>
                <w:sz w:val="20"/>
                <w:szCs w:val="20"/>
              </w:rPr>
            </w:pPr>
          </w:p>
        </w:tc>
      </w:tr>
      <w:tr w:rsidR="004628BB" w14:paraId="5B39DCAB" w14:textId="77777777">
        <w:tc>
          <w:tcPr>
            <w:tcW w:w="675" w:type="dxa"/>
            <w:tcBorders>
              <w:top w:val="single" w:sz="4" w:space="0" w:color="auto"/>
              <w:left w:val="single" w:sz="4" w:space="0" w:color="auto"/>
              <w:bottom w:val="single" w:sz="4" w:space="0" w:color="auto"/>
              <w:right w:val="single" w:sz="4" w:space="0" w:color="auto"/>
            </w:tcBorders>
            <w:vAlign w:val="center"/>
          </w:tcPr>
          <w:p w14:paraId="5B39DCA9" w14:textId="77777777" w:rsidR="004628BB" w:rsidRDefault="002C5754">
            <w:r>
              <w:rPr>
                <w:rStyle w:val="fontstyle01"/>
              </w:rPr>
              <w:t xml:space="preserve">(h) </w:t>
            </w:r>
          </w:p>
        </w:tc>
        <w:tc>
          <w:tcPr>
            <w:tcW w:w="0" w:type="auto"/>
            <w:vAlign w:val="center"/>
          </w:tcPr>
          <w:p w14:paraId="5B39DCAA" w14:textId="77777777" w:rsidR="004628BB" w:rsidRDefault="004628BB">
            <w:pPr>
              <w:rPr>
                <w:sz w:val="20"/>
                <w:szCs w:val="20"/>
              </w:rPr>
            </w:pPr>
          </w:p>
        </w:tc>
      </w:tr>
    </w:tbl>
    <w:p w14:paraId="5B39DCAC" w14:textId="77777777" w:rsidR="004628BB" w:rsidRDefault="004628BB">
      <w:pPr>
        <w:rPr>
          <w:rStyle w:val="fontstyle01"/>
        </w:rPr>
      </w:pPr>
    </w:p>
    <w:p w14:paraId="5B39DCAD" w14:textId="77777777" w:rsidR="004628BB" w:rsidRDefault="002C5754">
      <w:r>
        <w:rPr>
          <w:rStyle w:val="fontstyle01"/>
        </w:rPr>
        <w:t xml:space="preserve">Appendix 2, and a summary description of the security measures, as well as a </w:t>
      </w:r>
      <w:r>
        <w:rPr>
          <w:rStyle w:val="fontstyle01"/>
        </w:rPr>
        <w:t>copy of any</w:t>
      </w:r>
      <w:r>
        <w:rPr>
          <w:rFonts w:ascii="Calibri" w:hAnsi="Calibri" w:cs="Calibri"/>
          <w:color w:val="000000"/>
          <w:sz w:val="22"/>
          <w:szCs w:val="22"/>
        </w:rPr>
        <w:br/>
      </w:r>
      <w:r>
        <w:rPr>
          <w:rStyle w:val="fontstyle01"/>
        </w:rPr>
        <w:t xml:space="preserve">contract for </w:t>
      </w:r>
      <w:proofErr w:type="spellStart"/>
      <w:r>
        <w:rPr>
          <w:rStyle w:val="fontstyle01"/>
        </w:rPr>
        <w:t>subprocessing</w:t>
      </w:r>
      <w:proofErr w:type="spellEnd"/>
      <w:r>
        <w:rPr>
          <w:rStyle w:val="fontstyle01"/>
        </w:rPr>
        <w:t xml:space="preserve"> services which has to be made in accordance with the Clauses, unless the Clauses or the contract contain commercial information, in which case it may remove such commercial </w:t>
      </w:r>
      <w:proofErr w:type="gramStart"/>
      <w:r>
        <w:rPr>
          <w:rStyle w:val="fontstyle01"/>
        </w:rPr>
        <w:t>information;</w:t>
      </w:r>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11"/>
        <w:gridCol w:w="7685"/>
      </w:tblGrid>
      <w:tr w:rsidR="004628BB" w14:paraId="5B39DCB0" w14:textId="77777777">
        <w:tc>
          <w:tcPr>
            <w:tcW w:w="630" w:type="dxa"/>
            <w:tcBorders>
              <w:top w:val="single" w:sz="4" w:space="0" w:color="auto"/>
              <w:left w:val="single" w:sz="4" w:space="0" w:color="auto"/>
              <w:bottom w:val="single" w:sz="4" w:space="0" w:color="auto"/>
              <w:right w:val="single" w:sz="4" w:space="0" w:color="auto"/>
            </w:tcBorders>
            <w:vAlign w:val="center"/>
          </w:tcPr>
          <w:p w14:paraId="5B39DCAE" w14:textId="77777777" w:rsidR="004628BB" w:rsidRDefault="002C5754">
            <w:r>
              <w:rPr>
                <w:rStyle w:val="fontstyle01"/>
              </w:rPr>
              <w:t>(</w:t>
            </w:r>
            <w:proofErr w:type="spellStart"/>
            <w:r>
              <w:rPr>
                <w:rStyle w:val="fontstyle01"/>
              </w:rPr>
              <w:t>i</w:t>
            </w:r>
            <w:proofErr w:type="spellEnd"/>
            <w:r>
              <w:rPr>
                <w:rStyle w:val="fontstyle01"/>
              </w:rPr>
              <w:t xml:space="preserve">) </w:t>
            </w:r>
          </w:p>
        </w:tc>
        <w:tc>
          <w:tcPr>
            <w:tcW w:w="8250" w:type="dxa"/>
            <w:tcBorders>
              <w:top w:val="single" w:sz="4" w:space="0" w:color="auto"/>
              <w:left w:val="single" w:sz="4" w:space="0" w:color="auto"/>
              <w:bottom w:val="single" w:sz="4" w:space="0" w:color="auto"/>
              <w:right w:val="single" w:sz="4" w:space="0" w:color="auto"/>
            </w:tcBorders>
            <w:vAlign w:val="center"/>
          </w:tcPr>
          <w:p w14:paraId="5B39DCAF" w14:textId="77777777" w:rsidR="004628BB" w:rsidRDefault="002C5754">
            <w:r>
              <w:rPr>
                <w:rStyle w:val="fontstyle01"/>
              </w:rPr>
              <w:t xml:space="preserve">that, in the event of </w:t>
            </w:r>
            <w:proofErr w:type="spellStart"/>
            <w:r>
              <w:rPr>
                <w:rStyle w:val="fontstyle01"/>
              </w:rPr>
              <w:t>subprocessing</w:t>
            </w:r>
            <w:proofErr w:type="spellEnd"/>
            <w:r>
              <w:rPr>
                <w:rStyle w:val="fontstyle01"/>
              </w:rPr>
              <w:t>, the processing activity is carried out in accordance with</w:t>
            </w:r>
            <w:r>
              <w:rPr>
                <w:rFonts w:ascii="Calibri" w:hAnsi="Calibri" w:cs="Calibri"/>
                <w:color w:val="000000"/>
                <w:sz w:val="22"/>
                <w:szCs w:val="22"/>
              </w:rPr>
              <w:br/>
            </w:r>
            <w:r>
              <w:rPr>
                <w:rStyle w:val="fontstyle01"/>
              </w:rPr>
              <w:t xml:space="preserve">Clause 11 by a </w:t>
            </w:r>
            <w:proofErr w:type="spellStart"/>
            <w:r>
              <w:rPr>
                <w:rStyle w:val="fontstyle01"/>
              </w:rPr>
              <w:t>subprocessor</w:t>
            </w:r>
            <w:proofErr w:type="spellEnd"/>
            <w:r>
              <w:rPr>
                <w:rStyle w:val="fontstyle01"/>
              </w:rPr>
              <w:t xml:space="preserve"> providing at least the same level of protection for the personal data</w:t>
            </w:r>
            <w:r>
              <w:rPr>
                <w:rFonts w:ascii="Calibri" w:hAnsi="Calibri" w:cs="Calibri"/>
                <w:color w:val="000000"/>
                <w:sz w:val="22"/>
                <w:szCs w:val="22"/>
              </w:rPr>
              <w:br/>
            </w:r>
            <w:r>
              <w:rPr>
                <w:rStyle w:val="fontstyle01"/>
              </w:rPr>
              <w:t>and the rights of data subject as the data importer under the Clauses; and</w:t>
            </w:r>
            <w:r>
              <w:rPr>
                <w:rFonts w:ascii="Calibri" w:hAnsi="Calibri" w:cs="Calibri"/>
                <w:color w:val="000000"/>
                <w:sz w:val="22"/>
                <w:szCs w:val="22"/>
              </w:rPr>
              <w:br/>
            </w:r>
            <w:r>
              <w:rPr>
                <w:rStyle w:val="fontstyle01"/>
              </w:rPr>
              <w:t>that it will ensure compliance with Clause 4(a) to (</w:t>
            </w:r>
            <w:proofErr w:type="spellStart"/>
            <w:r>
              <w:rPr>
                <w:rStyle w:val="fontstyle01"/>
              </w:rPr>
              <w:t>i</w:t>
            </w:r>
            <w:proofErr w:type="spellEnd"/>
            <w:r>
              <w:rPr>
                <w:rStyle w:val="fontstyle01"/>
              </w:rPr>
              <w:t>).</w:t>
            </w:r>
          </w:p>
        </w:tc>
      </w:tr>
      <w:tr w:rsidR="004628BB" w14:paraId="5B39DCB3" w14:textId="77777777">
        <w:tc>
          <w:tcPr>
            <w:tcW w:w="630" w:type="dxa"/>
            <w:tcBorders>
              <w:top w:val="single" w:sz="4" w:space="0" w:color="auto"/>
              <w:left w:val="single" w:sz="4" w:space="0" w:color="auto"/>
              <w:bottom w:val="single" w:sz="4" w:space="0" w:color="auto"/>
              <w:right w:val="single" w:sz="4" w:space="0" w:color="auto"/>
            </w:tcBorders>
            <w:vAlign w:val="center"/>
          </w:tcPr>
          <w:p w14:paraId="5B39DCB1" w14:textId="77777777" w:rsidR="004628BB" w:rsidRDefault="002C5754">
            <w:r>
              <w:rPr>
                <w:rStyle w:val="fontstyle01"/>
              </w:rPr>
              <w:t xml:space="preserve">(j) </w:t>
            </w:r>
          </w:p>
        </w:tc>
        <w:tc>
          <w:tcPr>
            <w:tcW w:w="0" w:type="auto"/>
            <w:vAlign w:val="center"/>
          </w:tcPr>
          <w:p w14:paraId="5B39DCB2" w14:textId="77777777" w:rsidR="004628BB" w:rsidRDefault="004628BB">
            <w:pPr>
              <w:rPr>
                <w:sz w:val="20"/>
                <w:szCs w:val="20"/>
              </w:rPr>
            </w:pPr>
          </w:p>
        </w:tc>
      </w:tr>
    </w:tbl>
    <w:p w14:paraId="5B39DCB4" w14:textId="77777777" w:rsidR="004628BB" w:rsidRDefault="004628BB">
      <w:pPr>
        <w:rPr>
          <w:rStyle w:val="fontstyle21"/>
        </w:rPr>
      </w:pPr>
    </w:p>
    <w:p w14:paraId="5B39DCB5" w14:textId="77777777" w:rsidR="004628BB" w:rsidRDefault="002C5754">
      <w:r>
        <w:rPr>
          <w:rStyle w:val="fontstyle21"/>
        </w:rPr>
        <w:t>Clause 5</w:t>
      </w:r>
      <w:r>
        <w:rPr>
          <w:rFonts w:ascii="Calibri-Italic" w:hAnsi="Calibri-Italic"/>
          <w:i/>
          <w:iCs/>
          <w:color w:val="000000"/>
          <w:sz w:val="22"/>
          <w:szCs w:val="22"/>
        </w:rPr>
        <w:br/>
      </w:r>
      <w:r>
        <w:rPr>
          <w:rStyle w:val="fontstyle31"/>
        </w:rPr>
        <w:t>Obligations of the data importer</w:t>
      </w:r>
      <w:r>
        <w:rPr>
          <w:rFonts w:ascii="Calibri-BoldItalic" w:hAnsi="Calibri-BoldItalic"/>
          <w:b/>
          <w:bCs/>
          <w:i/>
          <w:iCs/>
          <w:color w:val="000000"/>
          <w:sz w:val="22"/>
          <w:szCs w:val="22"/>
        </w:rPr>
        <w:br/>
      </w:r>
      <w:r>
        <w:rPr>
          <w:rStyle w:val="fontstyle01"/>
        </w:rPr>
        <w:t>The data importer agrees and warrants: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0"/>
        <w:gridCol w:w="8250"/>
      </w:tblGrid>
      <w:tr w:rsidR="004628BB" w14:paraId="5B39DCB8" w14:textId="77777777">
        <w:tc>
          <w:tcPr>
            <w:tcW w:w="660" w:type="dxa"/>
            <w:tcBorders>
              <w:top w:val="single" w:sz="4" w:space="0" w:color="auto"/>
              <w:left w:val="single" w:sz="4" w:space="0" w:color="auto"/>
              <w:bottom w:val="single" w:sz="4" w:space="0" w:color="auto"/>
              <w:right w:val="single" w:sz="4" w:space="0" w:color="auto"/>
            </w:tcBorders>
            <w:vAlign w:val="center"/>
          </w:tcPr>
          <w:p w14:paraId="5B39DCB6" w14:textId="77777777" w:rsidR="004628BB" w:rsidRDefault="002C5754">
            <w:r>
              <w:rPr>
                <w:rStyle w:val="fontstyle01"/>
              </w:rPr>
              <w:t xml:space="preserve">(a) </w:t>
            </w:r>
          </w:p>
        </w:tc>
        <w:tc>
          <w:tcPr>
            <w:tcW w:w="8250" w:type="dxa"/>
            <w:tcBorders>
              <w:top w:val="single" w:sz="4" w:space="0" w:color="auto"/>
              <w:left w:val="single" w:sz="4" w:space="0" w:color="auto"/>
              <w:bottom w:val="single" w:sz="4" w:space="0" w:color="auto"/>
              <w:right w:val="single" w:sz="4" w:space="0" w:color="auto"/>
            </w:tcBorders>
            <w:vAlign w:val="center"/>
          </w:tcPr>
          <w:p w14:paraId="5B39DCB7" w14:textId="77777777" w:rsidR="004628BB" w:rsidRDefault="002C5754">
            <w:r>
              <w:rPr>
                <w:rStyle w:val="fontstyle01"/>
              </w:rPr>
              <w:t>to process the personal data only on behalf of the data exporter and in compliance with its</w:t>
            </w:r>
            <w:r>
              <w:rPr>
                <w:rFonts w:ascii="Calibri" w:hAnsi="Calibri" w:cs="Calibri"/>
                <w:color w:val="000000"/>
                <w:sz w:val="22"/>
                <w:szCs w:val="22"/>
              </w:rPr>
              <w:br/>
            </w:r>
            <w:r>
              <w:rPr>
                <w:rStyle w:val="fontstyle01"/>
              </w:rPr>
              <w:t xml:space="preserve">instructions and the </w:t>
            </w:r>
            <w:r>
              <w:rPr>
                <w:rStyle w:val="fontstyle01"/>
              </w:rPr>
              <w:t>Clauses; if it cannot provide such compliance for whatever reasons, it agrees</w:t>
            </w:r>
          </w:p>
        </w:tc>
      </w:tr>
    </w:tbl>
    <w:p w14:paraId="5B39DCB9" w14:textId="77777777" w:rsidR="004628BB" w:rsidRDefault="002C5754">
      <w:r>
        <w:rPr>
          <w:rStyle w:val="fontstyle01"/>
        </w:rPr>
        <w:t>To inform promptly the data exporter of its inability to comply, in which case the data exporter is entitled to suspend the transfer of data and/or terminate the contract;</w:t>
      </w:r>
      <w:r>
        <w:rPr>
          <w:rFonts w:ascii="Calibri" w:hAnsi="Calibri" w:cs="Calibri"/>
          <w:color w:val="000000"/>
          <w:sz w:val="22"/>
          <w:szCs w:val="22"/>
        </w:rPr>
        <w:br/>
      </w:r>
      <w:r>
        <w:rPr>
          <w:rStyle w:val="fontstyle01"/>
        </w:rPr>
        <w:t xml:space="preserve">(b) that it has no reason to believe that the legislation applicable to it prevents it from fulfilling the instructions received from the data exporter and its obligations under the contract and that in the event of a change in this legislation which is likely to have a substantial adverse effect on the warranties and obligations provided by the Clauses, it will </w:t>
      </w:r>
      <w:r>
        <w:rPr>
          <w:rStyle w:val="fontstyle01"/>
        </w:rPr>
        <w:lastRenderedPageBreak/>
        <w:t>promptly notify the change to the data exporter as soon as it is aware, in which case the data exporter is entitled to suspend the transfer of dat</w:t>
      </w:r>
      <w:r>
        <w:rPr>
          <w:rStyle w:val="fontstyle01"/>
        </w:rPr>
        <w:t>a and/or terminate the contract;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6"/>
        <w:gridCol w:w="7640"/>
      </w:tblGrid>
      <w:tr w:rsidR="004628BB" w14:paraId="5B39DCBC" w14:textId="77777777">
        <w:tc>
          <w:tcPr>
            <w:tcW w:w="675" w:type="dxa"/>
            <w:tcBorders>
              <w:top w:val="single" w:sz="4" w:space="0" w:color="auto"/>
              <w:left w:val="single" w:sz="4" w:space="0" w:color="auto"/>
              <w:bottom w:val="single" w:sz="4" w:space="0" w:color="auto"/>
              <w:right w:val="single" w:sz="4" w:space="0" w:color="auto"/>
            </w:tcBorders>
            <w:vAlign w:val="center"/>
          </w:tcPr>
          <w:p w14:paraId="5B39DCBA" w14:textId="77777777" w:rsidR="004628BB" w:rsidRDefault="002C5754">
            <w:r>
              <w:rPr>
                <w:rStyle w:val="fontstyle01"/>
              </w:rPr>
              <w:t xml:space="preserve">(c) </w:t>
            </w:r>
          </w:p>
        </w:tc>
        <w:tc>
          <w:tcPr>
            <w:tcW w:w="8250" w:type="dxa"/>
            <w:tcBorders>
              <w:top w:val="single" w:sz="4" w:space="0" w:color="auto"/>
              <w:left w:val="single" w:sz="4" w:space="0" w:color="auto"/>
              <w:bottom w:val="single" w:sz="4" w:space="0" w:color="auto"/>
              <w:right w:val="single" w:sz="4" w:space="0" w:color="auto"/>
            </w:tcBorders>
            <w:vAlign w:val="center"/>
          </w:tcPr>
          <w:p w14:paraId="5B39DCBB" w14:textId="77777777" w:rsidR="004628BB" w:rsidRDefault="002C5754">
            <w:r>
              <w:rPr>
                <w:rStyle w:val="fontstyle01"/>
              </w:rPr>
              <w:t>that it has implemented the technical and organisational security measures specified in</w:t>
            </w:r>
            <w:r>
              <w:rPr>
                <w:rFonts w:ascii="Calibri" w:hAnsi="Calibri" w:cs="Calibri"/>
                <w:color w:val="000000"/>
                <w:sz w:val="22"/>
                <w:szCs w:val="22"/>
              </w:rPr>
              <w:br/>
            </w:r>
            <w:r>
              <w:rPr>
                <w:rStyle w:val="fontstyle01"/>
              </w:rPr>
              <w:t>Appendix 2 before processing the personal data transferred;</w:t>
            </w:r>
            <w:r>
              <w:rPr>
                <w:rFonts w:ascii="Calibri" w:hAnsi="Calibri" w:cs="Calibri"/>
                <w:color w:val="000000"/>
                <w:sz w:val="22"/>
                <w:szCs w:val="22"/>
              </w:rPr>
              <w:br/>
            </w:r>
            <w:r>
              <w:rPr>
                <w:rStyle w:val="fontstyle01"/>
              </w:rPr>
              <w:t>that it will promptly notify the data exporter about:</w:t>
            </w:r>
          </w:p>
        </w:tc>
      </w:tr>
      <w:tr w:rsidR="004628BB" w14:paraId="5B39DCBF" w14:textId="77777777">
        <w:tc>
          <w:tcPr>
            <w:tcW w:w="675" w:type="dxa"/>
            <w:tcBorders>
              <w:top w:val="single" w:sz="4" w:space="0" w:color="auto"/>
              <w:left w:val="single" w:sz="4" w:space="0" w:color="auto"/>
              <w:bottom w:val="single" w:sz="4" w:space="0" w:color="auto"/>
              <w:right w:val="single" w:sz="4" w:space="0" w:color="auto"/>
            </w:tcBorders>
            <w:vAlign w:val="center"/>
          </w:tcPr>
          <w:p w14:paraId="5B39DCBD" w14:textId="77777777" w:rsidR="004628BB" w:rsidRDefault="002C5754">
            <w:r>
              <w:rPr>
                <w:rStyle w:val="fontstyle01"/>
              </w:rPr>
              <w:t xml:space="preserve">(d) </w:t>
            </w:r>
          </w:p>
        </w:tc>
        <w:tc>
          <w:tcPr>
            <w:tcW w:w="0" w:type="auto"/>
            <w:vAlign w:val="center"/>
          </w:tcPr>
          <w:p w14:paraId="5B39DCBE" w14:textId="77777777" w:rsidR="004628BB" w:rsidRDefault="004628BB">
            <w:pPr>
              <w:rPr>
                <w:sz w:val="20"/>
                <w:szCs w:val="20"/>
              </w:rPr>
            </w:pPr>
          </w:p>
        </w:tc>
      </w:tr>
    </w:tbl>
    <w:p w14:paraId="5B39DCC0" w14:textId="77777777" w:rsidR="004628BB" w:rsidRDefault="004628BB"/>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8"/>
        <w:gridCol w:w="7818"/>
      </w:tblGrid>
      <w:tr w:rsidR="004628BB" w14:paraId="5B39DCC3" w14:textId="77777777">
        <w:tc>
          <w:tcPr>
            <w:tcW w:w="480" w:type="dxa"/>
            <w:tcBorders>
              <w:top w:val="single" w:sz="4" w:space="0" w:color="auto"/>
              <w:left w:val="single" w:sz="4" w:space="0" w:color="auto"/>
              <w:bottom w:val="single" w:sz="4" w:space="0" w:color="auto"/>
              <w:right w:val="single" w:sz="4" w:space="0" w:color="auto"/>
            </w:tcBorders>
            <w:vAlign w:val="center"/>
          </w:tcPr>
          <w:p w14:paraId="5B39DCC1" w14:textId="77777777" w:rsidR="004628BB" w:rsidRDefault="002C5754">
            <w:r>
              <w:rPr>
                <w:rStyle w:val="fontstyle01"/>
              </w:rPr>
              <w:t>(</w:t>
            </w:r>
            <w:proofErr w:type="spellStart"/>
            <w:r>
              <w:rPr>
                <w:rStyle w:val="fontstyle01"/>
              </w:rPr>
              <w:t>i</w:t>
            </w:r>
            <w:proofErr w:type="spellEnd"/>
            <w:r>
              <w:rPr>
                <w:rStyle w:val="fontstyle01"/>
              </w:rPr>
              <w:t xml:space="preserve">) </w:t>
            </w:r>
          </w:p>
        </w:tc>
        <w:tc>
          <w:tcPr>
            <w:tcW w:w="8250" w:type="dxa"/>
            <w:tcBorders>
              <w:top w:val="single" w:sz="4" w:space="0" w:color="auto"/>
              <w:left w:val="single" w:sz="4" w:space="0" w:color="auto"/>
              <w:bottom w:val="single" w:sz="4" w:space="0" w:color="auto"/>
              <w:right w:val="single" w:sz="4" w:space="0" w:color="auto"/>
            </w:tcBorders>
            <w:vAlign w:val="center"/>
          </w:tcPr>
          <w:p w14:paraId="5B39DCC2" w14:textId="77777777" w:rsidR="004628BB" w:rsidRDefault="002C5754">
            <w:r>
              <w:rPr>
                <w:rStyle w:val="fontstyle01"/>
              </w:rPr>
              <w:t xml:space="preserve">any </w:t>
            </w:r>
            <w:r>
              <w:rPr>
                <w:rStyle w:val="fontstyle01"/>
              </w:rPr>
              <w:t>legally binding request for disclosure of the personal data by a law enforcement</w:t>
            </w:r>
            <w:r>
              <w:rPr>
                <w:rFonts w:ascii="Calibri" w:hAnsi="Calibri" w:cs="Calibri"/>
                <w:color w:val="000000"/>
                <w:sz w:val="22"/>
                <w:szCs w:val="22"/>
              </w:rPr>
              <w:br/>
            </w:r>
            <w:r>
              <w:rPr>
                <w:rStyle w:val="fontstyle01"/>
              </w:rPr>
              <w:t>authority unless otherwise prohibited, such as a prohibition under criminal law to</w:t>
            </w:r>
            <w:r>
              <w:rPr>
                <w:rFonts w:ascii="Calibri" w:hAnsi="Calibri" w:cs="Calibri"/>
                <w:color w:val="000000"/>
                <w:sz w:val="22"/>
                <w:szCs w:val="22"/>
              </w:rPr>
              <w:br/>
            </w:r>
            <w:r>
              <w:rPr>
                <w:rStyle w:val="fontstyle01"/>
              </w:rPr>
              <w:t>preserve the confidentiality of a law enforcement investigation,</w:t>
            </w:r>
            <w:r>
              <w:rPr>
                <w:rFonts w:ascii="Calibri" w:hAnsi="Calibri" w:cs="Calibri"/>
                <w:color w:val="000000"/>
                <w:sz w:val="22"/>
                <w:szCs w:val="22"/>
              </w:rPr>
              <w:br/>
            </w:r>
            <w:r>
              <w:rPr>
                <w:rStyle w:val="fontstyle01"/>
              </w:rPr>
              <w:t xml:space="preserve">any accidental or </w:t>
            </w:r>
            <w:r>
              <w:rPr>
                <w:rStyle w:val="fontstyle01"/>
              </w:rPr>
              <w:t>unauthorised access, and</w:t>
            </w:r>
          </w:p>
        </w:tc>
      </w:tr>
      <w:tr w:rsidR="004628BB" w14:paraId="5B39DCC6" w14:textId="77777777">
        <w:tc>
          <w:tcPr>
            <w:tcW w:w="480" w:type="dxa"/>
            <w:tcBorders>
              <w:top w:val="single" w:sz="4" w:space="0" w:color="auto"/>
              <w:left w:val="single" w:sz="4" w:space="0" w:color="auto"/>
              <w:bottom w:val="single" w:sz="4" w:space="0" w:color="auto"/>
              <w:right w:val="single" w:sz="4" w:space="0" w:color="auto"/>
            </w:tcBorders>
            <w:vAlign w:val="center"/>
          </w:tcPr>
          <w:p w14:paraId="5B39DCC4" w14:textId="77777777" w:rsidR="004628BB" w:rsidRDefault="002C5754">
            <w:r>
              <w:rPr>
                <w:rStyle w:val="fontstyle01"/>
              </w:rPr>
              <w:t xml:space="preserve">(ii) </w:t>
            </w:r>
          </w:p>
        </w:tc>
        <w:tc>
          <w:tcPr>
            <w:tcW w:w="0" w:type="auto"/>
            <w:vAlign w:val="center"/>
          </w:tcPr>
          <w:p w14:paraId="5B39DCC5" w14:textId="77777777" w:rsidR="004628BB" w:rsidRDefault="004628BB">
            <w:pPr>
              <w:rPr>
                <w:sz w:val="20"/>
                <w:szCs w:val="20"/>
              </w:rPr>
            </w:pPr>
          </w:p>
        </w:tc>
      </w:tr>
    </w:tbl>
    <w:p w14:paraId="5B39DCC7" w14:textId="77777777" w:rsidR="004628BB" w:rsidRDefault="002C5754">
      <w:pPr>
        <w:rPr>
          <w:rStyle w:val="fontstyle01"/>
        </w:rPr>
      </w:pPr>
      <w:r>
        <w:rPr>
          <w:rStyle w:val="fontstyle01"/>
        </w:rPr>
        <w:t>(iii) any request received directly from the data subjects without responding to that request,</w:t>
      </w:r>
      <w:r>
        <w:rPr>
          <w:rFonts w:ascii="Calibri" w:hAnsi="Calibri" w:cs="Calibri"/>
          <w:color w:val="000000"/>
          <w:sz w:val="22"/>
          <w:szCs w:val="22"/>
        </w:rPr>
        <w:br/>
      </w:r>
      <w:r>
        <w:rPr>
          <w:rStyle w:val="fontstyle01"/>
        </w:rPr>
        <w:t>unless it has been otherwise authorised to do so;</w:t>
      </w:r>
      <w:r>
        <w:rPr>
          <w:rFonts w:ascii="Calibri" w:hAnsi="Calibri" w:cs="Calibri"/>
          <w:color w:val="000000"/>
          <w:sz w:val="22"/>
          <w:szCs w:val="22"/>
        </w:rPr>
        <w:br/>
      </w:r>
      <w:r>
        <w:rPr>
          <w:rStyle w:val="fontstyle01"/>
        </w:rPr>
        <w:t xml:space="preserve">(e) to deal promptly and properly with all inquiries from the data </w:t>
      </w:r>
      <w:r>
        <w:rPr>
          <w:rStyle w:val="fontstyle01"/>
        </w:rPr>
        <w:t>exporter relating to its processing of the personal data subject to the transfer and to abide by the advice of the supervisory authority with regard to the processing of the data transferred;</w:t>
      </w:r>
      <w:r>
        <w:rPr>
          <w:rFonts w:ascii="Calibri" w:hAnsi="Calibri" w:cs="Calibri"/>
          <w:color w:val="000000"/>
          <w:sz w:val="22"/>
          <w:szCs w:val="22"/>
        </w:rPr>
        <w:br/>
      </w:r>
      <w:r>
        <w:rPr>
          <w:rStyle w:val="fontstyle01"/>
        </w:rPr>
        <w:t>(f) at the request of the data exporter to submit its data processing facilities for audit of the</w:t>
      </w:r>
      <w:r>
        <w:rPr>
          <w:rFonts w:ascii="Calibri" w:hAnsi="Calibri" w:cs="Calibri"/>
          <w:color w:val="000000"/>
          <w:sz w:val="22"/>
          <w:szCs w:val="22"/>
        </w:rPr>
        <w:br/>
      </w:r>
      <w:r>
        <w:rPr>
          <w:rStyle w:val="fontstyle01"/>
        </w:rPr>
        <w:t>processing activities covered by the Clauses which shall be carried out by the data exporter or an inspection body composed of independent members and in possession of the required</w:t>
      </w:r>
      <w:r>
        <w:rPr>
          <w:rFonts w:ascii="Calibri" w:hAnsi="Calibri" w:cs="Calibri"/>
          <w:color w:val="000000"/>
          <w:sz w:val="22"/>
          <w:szCs w:val="22"/>
        </w:rPr>
        <w:br/>
      </w:r>
      <w:r>
        <w:rPr>
          <w:rStyle w:val="fontstyle01"/>
        </w:rPr>
        <w:t>professional qualifications bound by a du</w:t>
      </w:r>
      <w:r>
        <w:rPr>
          <w:rStyle w:val="fontstyle01"/>
        </w:rPr>
        <w:t>ty of confidentiality, selected by the data exporter, where applicable, in agreement with the supervisory authority;</w:t>
      </w:r>
      <w:r>
        <w:rPr>
          <w:rFonts w:ascii="Calibri" w:hAnsi="Calibri" w:cs="Calibri"/>
          <w:color w:val="000000"/>
          <w:sz w:val="22"/>
          <w:szCs w:val="22"/>
        </w:rPr>
        <w:br/>
      </w:r>
      <w:r>
        <w:rPr>
          <w:rStyle w:val="fontstyle01"/>
        </w:rPr>
        <w:t xml:space="preserve">(g) to make available to the data subject upon request a copy of the Clauses, or any existing contract for </w:t>
      </w:r>
      <w:proofErr w:type="spellStart"/>
      <w:r>
        <w:rPr>
          <w:rStyle w:val="fontstyle01"/>
        </w:rPr>
        <w:t>subprocessing</w:t>
      </w:r>
      <w:proofErr w:type="spellEnd"/>
      <w:r>
        <w:rPr>
          <w:rStyle w:val="fontstyle01"/>
        </w:rPr>
        <w:t>, unless the Clauses or contract contain commercial information, in which case it may remove such commercial information, with the exception of Appendix 2 which shall be replaced by a summary description of the security measures in those cases where the data subject is unabl</w:t>
      </w:r>
      <w:r>
        <w:rPr>
          <w:rStyle w:val="fontstyle01"/>
        </w:rPr>
        <w:t>e to obtain a copy from the data exporter;</w:t>
      </w:r>
      <w:r>
        <w:rPr>
          <w:rFonts w:ascii="Calibri" w:hAnsi="Calibri" w:cs="Calibri"/>
          <w:color w:val="000000"/>
          <w:sz w:val="22"/>
          <w:szCs w:val="22"/>
        </w:rPr>
        <w:br/>
      </w:r>
      <w:r>
        <w:rPr>
          <w:rStyle w:val="fontstyle01"/>
        </w:rPr>
        <w:t xml:space="preserve">(h) that, in the event of </w:t>
      </w:r>
      <w:proofErr w:type="spellStart"/>
      <w:r>
        <w:rPr>
          <w:rStyle w:val="fontstyle01"/>
        </w:rPr>
        <w:t>subprocessing</w:t>
      </w:r>
      <w:proofErr w:type="spellEnd"/>
      <w:r>
        <w:rPr>
          <w:rStyle w:val="fontstyle01"/>
        </w:rPr>
        <w:t>, it has previously informed the data exporter and obtained its prior written consent;</w:t>
      </w:r>
      <w:r>
        <w:rPr>
          <w:rFonts w:ascii="Calibri" w:hAnsi="Calibri" w:cs="Calibri"/>
          <w:color w:val="000000"/>
          <w:sz w:val="22"/>
          <w:szCs w:val="22"/>
        </w:rPr>
        <w:br/>
      </w:r>
      <w:r>
        <w:rPr>
          <w:rStyle w:val="fontstyle01"/>
        </w:rPr>
        <w:t>(</w:t>
      </w:r>
      <w:proofErr w:type="spellStart"/>
      <w:r>
        <w:rPr>
          <w:rStyle w:val="fontstyle01"/>
        </w:rPr>
        <w:t>i</w:t>
      </w:r>
      <w:proofErr w:type="spellEnd"/>
      <w:r>
        <w:rPr>
          <w:rStyle w:val="fontstyle01"/>
        </w:rPr>
        <w:t xml:space="preserve">) that the processing services by the </w:t>
      </w:r>
      <w:proofErr w:type="spellStart"/>
      <w:r>
        <w:rPr>
          <w:rStyle w:val="fontstyle01"/>
        </w:rPr>
        <w:t>subprocessor</w:t>
      </w:r>
      <w:proofErr w:type="spellEnd"/>
      <w:r>
        <w:rPr>
          <w:rStyle w:val="fontstyle01"/>
        </w:rPr>
        <w:t xml:space="preserve"> will be carried out in accordance with Clause 11;</w:t>
      </w:r>
      <w:r>
        <w:rPr>
          <w:rFonts w:ascii="Calibri" w:hAnsi="Calibri" w:cs="Calibri"/>
          <w:color w:val="000000"/>
          <w:sz w:val="22"/>
          <w:szCs w:val="22"/>
        </w:rPr>
        <w:br/>
      </w:r>
      <w:r>
        <w:rPr>
          <w:rStyle w:val="fontstyle01"/>
        </w:rPr>
        <w:t xml:space="preserve">(j) to send promptly a copy of any </w:t>
      </w:r>
      <w:proofErr w:type="spellStart"/>
      <w:r>
        <w:rPr>
          <w:rStyle w:val="fontstyle01"/>
        </w:rPr>
        <w:t>subprocessor</w:t>
      </w:r>
      <w:proofErr w:type="spellEnd"/>
      <w:r>
        <w:rPr>
          <w:rStyle w:val="fontstyle01"/>
        </w:rPr>
        <w:t xml:space="preserve"> agreement it concludes under the Clauses to the data exporter.</w:t>
      </w:r>
    </w:p>
    <w:p w14:paraId="5B39DCC8" w14:textId="77777777" w:rsidR="004628BB" w:rsidRDefault="002C5754">
      <w:pPr>
        <w:rPr>
          <w:rStyle w:val="fontstyle01"/>
        </w:rPr>
      </w:pPr>
      <w:r>
        <w:rPr>
          <w:rFonts w:ascii="Calibri" w:hAnsi="Calibri" w:cs="Calibri"/>
          <w:color w:val="000000"/>
          <w:sz w:val="22"/>
          <w:szCs w:val="22"/>
        </w:rPr>
        <w:br/>
      </w:r>
      <w:r>
        <w:rPr>
          <w:rStyle w:val="fontstyle21"/>
        </w:rPr>
        <w:t>Clause 6</w:t>
      </w:r>
      <w:r>
        <w:rPr>
          <w:rFonts w:ascii="Calibri-Italic" w:hAnsi="Calibri-Italic"/>
          <w:i/>
          <w:iCs/>
          <w:color w:val="000000"/>
          <w:sz w:val="22"/>
          <w:szCs w:val="22"/>
        </w:rPr>
        <w:br/>
      </w:r>
      <w:r>
        <w:rPr>
          <w:rStyle w:val="fontstyle31"/>
        </w:rPr>
        <w:t>Liability</w:t>
      </w:r>
      <w:r>
        <w:rPr>
          <w:rFonts w:ascii="Calibri-BoldItalic" w:hAnsi="Calibri-BoldItalic"/>
          <w:b/>
          <w:bCs/>
          <w:i/>
          <w:iCs/>
          <w:color w:val="000000"/>
          <w:sz w:val="22"/>
          <w:szCs w:val="22"/>
        </w:rPr>
        <w:br/>
      </w:r>
      <w:r>
        <w:rPr>
          <w:rStyle w:val="fontstyle01"/>
        </w:rPr>
        <w:t xml:space="preserve">1. The parties agree that any data subject, who has suffered damage </w:t>
      </w:r>
      <w:proofErr w:type="gramStart"/>
      <w:r>
        <w:rPr>
          <w:rStyle w:val="fontstyle01"/>
        </w:rPr>
        <w:t>as a result of</w:t>
      </w:r>
      <w:proofErr w:type="gramEnd"/>
      <w:r>
        <w:rPr>
          <w:rStyle w:val="fontstyle01"/>
        </w:rPr>
        <w:t xml:space="preserve"> any breach of the obligations referred to in Clause 3 or in Clause 11 by any party or </w:t>
      </w:r>
      <w:proofErr w:type="spellStart"/>
      <w:r>
        <w:rPr>
          <w:rStyle w:val="fontstyle01"/>
        </w:rPr>
        <w:t>subprocessor</w:t>
      </w:r>
      <w:proofErr w:type="spellEnd"/>
      <w:r>
        <w:rPr>
          <w:rStyle w:val="fontstyle01"/>
        </w:rPr>
        <w:t xml:space="preserve"> is entitled to receive compensation from the data exporter for the damage suffered.</w:t>
      </w:r>
      <w:r>
        <w:rPr>
          <w:rFonts w:ascii="Calibri" w:hAnsi="Calibri" w:cs="Calibri"/>
          <w:color w:val="000000"/>
          <w:sz w:val="22"/>
          <w:szCs w:val="22"/>
        </w:rPr>
        <w:br/>
      </w:r>
      <w:r>
        <w:rPr>
          <w:rStyle w:val="fontstyle01"/>
        </w:rPr>
        <w:t xml:space="preserve">2. If a data subject is not able to bring a claim for compensation in accordance with paragraph 1 against the data exporter, arising out of a breach by the data importer or his </w:t>
      </w:r>
      <w:proofErr w:type="spellStart"/>
      <w:r>
        <w:rPr>
          <w:rStyle w:val="fontstyle01"/>
        </w:rPr>
        <w:t>subprocessor</w:t>
      </w:r>
      <w:proofErr w:type="spellEnd"/>
      <w:r>
        <w:rPr>
          <w:rStyle w:val="fontstyle01"/>
        </w:rPr>
        <w:t xml:space="preserve"> of any of their obligations referred </w:t>
      </w:r>
      <w:r>
        <w:rPr>
          <w:rStyle w:val="fontstyle01"/>
        </w:rPr>
        <w:t xml:space="preserve">to in Clause 3 or in Clause 11, because the data exporter has factually disappeared or ceased to exist in law or has become insolvent, the data importer agrees that the data subject may issue a claim against the data importer as if it were the data exporter, unless any successor entity has assumed the entire legal obligations of the data exporter by contract of by operation of law, in which case the data subject can enforce its rights against such entity. The data importer may not rely on a breach by a </w:t>
      </w:r>
      <w:proofErr w:type="spellStart"/>
      <w:r>
        <w:rPr>
          <w:rStyle w:val="fontstyle01"/>
        </w:rPr>
        <w:t>subp</w:t>
      </w:r>
      <w:r>
        <w:rPr>
          <w:rStyle w:val="fontstyle01"/>
        </w:rPr>
        <w:t>rocessor</w:t>
      </w:r>
      <w:proofErr w:type="spellEnd"/>
      <w:r>
        <w:rPr>
          <w:rStyle w:val="fontstyle01"/>
        </w:rPr>
        <w:t xml:space="preserve"> of its obligations </w:t>
      </w:r>
      <w:proofErr w:type="gramStart"/>
      <w:r>
        <w:rPr>
          <w:rStyle w:val="fontstyle01"/>
        </w:rPr>
        <w:t>in order to</w:t>
      </w:r>
      <w:proofErr w:type="gramEnd"/>
      <w:r>
        <w:rPr>
          <w:rStyle w:val="fontstyle01"/>
        </w:rPr>
        <w:t xml:space="preserve"> avoid its own liabilities.</w:t>
      </w:r>
      <w:r>
        <w:rPr>
          <w:rFonts w:ascii="Calibri" w:hAnsi="Calibri" w:cs="Calibri"/>
          <w:color w:val="000000"/>
          <w:sz w:val="22"/>
          <w:szCs w:val="22"/>
        </w:rPr>
        <w:br/>
      </w:r>
      <w:r>
        <w:rPr>
          <w:rFonts w:ascii="TimesNewRomanPSMT" w:hAnsi="TimesNewRomanPSMT"/>
          <w:color w:val="000000"/>
        </w:rPr>
        <w:br/>
      </w:r>
      <w:r>
        <w:rPr>
          <w:rStyle w:val="fontstyle01"/>
        </w:rPr>
        <w:t xml:space="preserve">3. If a data subject is not able to bring a claim against the data exporter or the data importer </w:t>
      </w:r>
      <w:r>
        <w:rPr>
          <w:rStyle w:val="fontstyle01"/>
        </w:rPr>
        <w:lastRenderedPageBreak/>
        <w:t xml:space="preserve">referred to in paragraphs 1 and 2, arising out of a breach by the </w:t>
      </w:r>
      <w:proofErr w:type="spellStart"/>
      <w:r>
        <w:rPr>
          <w:rStyle w:val="fontstyle01"/>
        </w:rPr>
        <w:t>subprocessor</w:t>
      </w:r>
      <w:proofErr w:type="spellEnd"/>
      <w:r>
        <w:rPr>
          <w:rStyle w:val="fontstyle01"/>
        </w:rPr>
        <w:t xml:space="preserve"> of any of their obligations referred to in Clause 3 or in Clause 11 because both the data exporter and the data importer have factually disappeared or ceased to exist in law or have become insolvent, the </w:t>
      </w:r>
      <w:proofErr w:type="spellStart"/>
      <w:r>
        <w:rPr>
          <w:rStyle w:val="fontstyle01"/>
        </w:rPr>
        <w:t>subprocessor</w:t>
      </w:r>
      <w:proofErr w:type="spellEnd"/>
      <w:r>
        <w:rPr>
          <w:rStyle w:val="fontstyle01"/>
        </w:rPr>
        <w:t xml:space="preserve"> agrees that the data subject may issue a claim agai</w:t>
      </w:r>
      <w:r>
        <w:rPr>
          <w:rStyle w:val="fontstyle01"/>
        </w:rPr>
        <w:t xml:space="preserve">nst the data </w:t>
      </w:r>
      <w:proofErr w:type="spellStart"/>
      <w:r>
        <w:rPr>
          <w:rStyle w:val="fontstyle01"/>
        </w:rPr>
        <w:t>subprocessor</w:t>
      </w:r>
      <w:proofErr w:type="spellEnd"/>
      <w:r>
        <w:rPr>
          <w:rStyle w:val="fontstyle01"/>
        </w:rPr>
        <w:t xml:space="preserve"> with regard to its own processing operations under the Clauses as if it were the data exporter or the data importer, unless any successor entity has assumed the entire legal obligations of the data exporter or data importer by contract or by operation of law, in which case the data subject can enforce its rights against such entity. The liability of the </w:t>
      </w:r>
      <w:proofErr w:type="spellStart"/>
      <w:r>
        <w:rPr>
          <w:rStyle w:val="fontstyle01"/>
        </w:rPr>
        <w:t>subprocessor</w:t>
      </w:r>
      <w:proofErr w:type="spellEnd"/>
      <w:r>
        <w:rPr>
          <w:rStyle w:val="fontstyle01"/>
        </w:rPr>
        <w:t xml:space="preserve"> shall be limited to its own processing operations under the Clauses.</w:t>
      </w:r>
    </w:p>
    <w:p w14:paraId="5B39DCC9" w14:textId="77777777" w:rsidR="004628BB" w:rsidRDefault="002C5754">
      <w:r>
        <w:rPr>
          <w:rFonts w:ascii="Calibri" w:hAnsi="Calibri" w:cs="Calibri"/>
          <w:color w:val="000000"/>
          <w:sz w:val="22"/>
          <w:szCs w:val="22"/>
        </w:rPr>
        <w:br/>
      </w:r>
      <w:r>
        <w:rPr>
          <w:rStyle w:val="fontstyle21"/>
        </w:rPr>
        <w:t>Clause 7</w:t>
      </w:r>
      <w:r>
        <w:rPr>
          <w:rFonts w:ascii="Calibri-Italic" w:hAnsi="Calibri-Italic"/>
          <w:i/>
          <w:iCs/>
          <w:color w:val="000000"/>
          <w:sz w:val="22"/>
          <w:szCs w:val="22"/>
        </w:rPr>
        <w:br/>
      </w:r>
      <w:r>
        <w:rPr>
          <w:rStyle w:val="fontstyle31"/>
        </w:rPr>
        <w:t>Mediation and jurisdiction</w:t>
      </w:r>
      <w:r>
        <w:rPr>
          <w:rFonts w:ascii="Calibri-BoldItalic" w:hAnsi="Calibri-BoldItalic"/>
          <w:b/>
          <w:bCs/>
          <w:i/>
          <w:iCs/>
          <w:color w:val="000000"/>
          <w:sz w:val="22"/>
          <w:szCs w:val="22"/>
        </w:rPr>
        <w:br/>
      </w:r>
      <w:r>
        <w:rPr>
          <w:rStyle w:val="fontstyle01"/>
        </w:rPr>
        <w:t xml:space="preserve">1. The data importer agrees that if the data subject invokes against </w:t>
      </w:r>
      <w:proofErr w:type="gramStart"/>
      <w:r>
        <w:rPr>
          <w:rStyle w:val="fontstyle01"/>
        </w:rPr>
        <w:t>it</w:t>
      </w:r>
      <w:proofErr w:type="gramEnd"/>
      <w:r>
        <w:rPr>
          <w:rStyle w:val="fontstyle01"/>
        </w:rPr>
        <w:t xml:space="preserve"> third-party beneficiary rights and/or claims compensation for damages under the Clauses, the data importer will accept the decision of the data subject: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9"/>
        <w:gridCol w:w="7817"/>
      </w:tblGrid>
      <w:tr w:rsidR="004628BB" w14:paraId="5B39DCCC" w14:textId="77777777">
        <w:tc>
          <w:tcPr>
            <w:tcW w:w="480" w:type="dxa"/>
            <w:tcBorders>
              <w:top w:val="single" w:sz="4" w:space="0" w:color="auto"/>
              <w:left w:val="single" w:sz="4" w:space="0" w:color="auto"/>
              <w:bottom w:val="single" w:sz="4" w:space="0" w:color="auto"/>
              <w:right w:val="single" w:sz="4" w:space="0" w:color="auto"/>
            </w:tcBorders>
            <w:vAlign w:val="center"/>
          </w:tcPr>
          <w:p w14:paraId="5B39DCCA" w14:textId="77777777" w:rsidR="004628BB" w:rsidRDefault="002C5754">
            <w:r>
              <w:rPr>
                <w:rStyle w:val="fontstyle01"/>
              </w:rPr>
              <w:t xml:space="preserve">(a) </w:t>
            </w:r>
          </w:p>
        </w:tc>
        <w:tc>
          <w:tcPr>
            <w:tcW w:w="8250" w:type="dxa"/>
            <w:tcBorders>
              <w:top w:val="single" w:sz="4" w:space="0" w:color="auto"/>
              <w:left w:val="single" w:sz="4" w:space="0" w:color="auto"/>
              <w:bottom w:val="single" w:sz="4" w:space="0" w:color="auto"/>
              <w:right w:val="single" w:sz="4" w:space="0" w:color="auto"/>
            </w:tcBorders>
            <w:vAlign w:val="center"/>
          </w:tcPr>
          <w:p w14:paraId="5B39DCCB" w14:textId="77777777" w:rsidR="004628BB" w:rsidRDefault="002C5754">
            <w:r>
              <w:rPr>
                <w:rStyle w:val="fontstyle01"/>
              </w:rPr>
              <w:t>to refer the dispute to mediation, by an independent person or, where applicable, by the</w:t>
            </w:r>
            <w:r>
              <w:rPr>
                <w:rFonts w:ascii="Calibri" w:hAnsi="Calibri" w:cs="Calibri"/>
                <w:color w:val="000000"/>
                <w:sz w:val="22"/>
                <w:szCs w:val="22"/>
              </w:rPr>
              <w:br/>
            </w:r>
            <w:r>
              <w:rPr>
                <w:rStyle w:val="fontstyle01"/>
              </w:rPr>
              <w:t>supervisory authority;</w:t>
            </w:r>
            <w:r>
              <w:rPr>
                <w:rFonts w:ascii="Calibri" w:hAnsi="Calibri" w:cs="Calibri"/>
                <w:color w:val="000000"/>
                <w:sz w:val="22"/>
                <w:szCs w:val="22"/>
              </w:rPr>
              <w:br/>
            </w:r>
            <w:r>
              <w:rPr>
                <w:rStyle w:val="fontstyle01"/>
              </w:rPr>
              <w:t>to refer the dispute to the courts in the Member State in which the data exporter is</w:t>
            </w:r>
            <w:r>
              <w:rPr>
                <w:rFonts w:ascii="Calibri" w:hAnsi="Calibri" w:cs="Calibri"/>
                <w:color w:val="000000"/>
                <w:sz w:val="22"/>
                <w:szCs w:val="22"/>
              </w:rPr>
              <w:br/>
            </w:r>
            <w:r>
              <w:rPr>
                <w:rStyle w:val="fontstyle01"/>
              </w:rPr>
              <w:t>established.</w:t>
            </w:r>
          </w:p>
        </w:tc>
      </w:tr>
      <w:tr w:rsidR="004628BB" w14:paraId="5B39DCCF" w14:textId="77777777">
        <w:tc>
          <w:tcPr>
            <w:tcW w:w="480" w:type="dxa"/>
            <w:tcBorders>
              <w:top w:val="single" w:sz="4" w:space="0" w:color="auto"/>
              <w:left w:val="single" w:sz="4" w:space="0" w:color="auto"/>
              <w:bottom w:val="single" w:sz="4" w:space="0" w:color="auto"/>
              <w:right w:val="single" w:sz="4" w:space="0" w:color="auto"/>
            </w:tcBorders>
            <w:vAlign w:val="center"/>
          </w:tcPr>
          <w:p w14:paraId="5B39DCCD" w14:textId="77777777" w:rsidR="004628BB" w:rsidRDefault="002C5754">
            <w:r>
              <w:rPr>
                <w:rStyle w:val="fontstyle01"/>
              </w:rPr>
              <w:t xml:space="preserve">(b) </w:t>
            </w:r>
          </w:p>
        </w:tc>
        <w:tc>
          <w:tcPr>
            <w:tcW w:w="0" w:type="auto"/>
            <w:vAlign w:val="center"/>
          </w:tcPr>
          <w:p w14:paraId="5B39DCCE" w14:textId="77777777" w:rsidR="004628BB" w:rsidRDefault="004628BB">
            <w:pPr>
              <w:rPr>
                <w:sz w:val="20"/>
                <w:szCs w:val="20"/>
              </w:rPr>
            </w:pPr>
          </w:p>
        </w:tc>
      </w:tr>
    </w:tbl>
    <w:p w14:paraId="5B39DCD0" w14:textId="77777777" w:rsidR="004628BB" w:rsidRDefault="004628BB">
      <w:pPr>
        <w:pStyle w:val="NormalWeb"/>
        <w:spacing w:before="0" w:beforeAutospacing="0" w:after="240" w:afterAutospacing="0"/>
        <w:rPr>
          <w:rStyle w:val="fontstyle01"/>
        </w:rPr>
      </w:pPr>
    </w:p>
    <w:p w14:paraId="5B39DCD1" w14:textId="77777777" w:rsidR="004628BB" w:rsidRDefault="002C5754">
      <w:pPr>
        <w:pStyle w:val="NormalWeb"/>
        <w:spacing w:before="0" w:beforeAutospacing="0" w:after="240" w:afterAutospacing="0"/>
        <w:rPr>
          <w:rStyle w:val="fontstyle01"/>
        </w:rPr>
      </w:pPr>
      <w:r>
        <w:rPr>
          <w:rStyle w:val="fontstyle01"/>
        </w:rPr>
        <w:t xml:space="preserve">2. The parties agree that the choice made by the data subject will not prejudice its substantive or procedural rights to seek remedies in accordance with other provisions of national or </w:t>
      </w:r>
      <w:r>
        <w:rPr>
          <w:rStyle w:val="fontstyle01"/>
        </w:rPr>
        <w:t>international law.</w:t>
      </w:r>
    </w:p>
    <w:p w14:paraId="5B39DCD2" w14:textId="77777777" w:rsidR="004628BB" w:rsidRDefault="002C5754">
      <w:pPr>
        <w:pStyle w:val="NormalWeb"/>
        <w:spacing w:before="0" w:beforeAutospacing="0" w:after="240" w:afterAutospacing="0"/>
        <w:rPr>
          <w:rFonts w:ascii="TimesNewRomanPSMT" w:hAnsi="TimesNewRomanPSMT"/>
          <w:color w:val="000000"/>
        </w:rPr>
      </w:pPr>
      <w:r>
        <w:rPr>
          <w:rFonts w:ascii="Calibri" w:hAnsi="Calibri" w:cs="Calibri"/>
          <w:color w:val="000000"/>
          <w:sz w:val="22"/>
          <w:szCs w:val="22"/>
        </w:rPr>
        <w:br/>
      </w:r>
      <w:r>
        <w:rPr>
          <w:rStyle w:val="fontstyle21"/>
        </w:rPr>
        <w:t>Clause 8</w:t>
      </w:r>
      <w:r>
        <w:rPr>
          <w:rFonts w:ascii="Calibri-Italic" w:hAnsi="Calibri-Italic"/>
          <w:i/>
          <w:iCs/>
          <w:color w:val="000000"/>
          <w:sz w:val="22"/>
          <w:szCs w:val="22"/>
        </w:rPr>
        <w:br/>
      </w:r>
      <w:r>
        <w:rPr>
          <w:rStyle w:val="fontstyle31"/>
        </w:rPr>
        <w:t>Cooperation with supervisory authorities</w:t>
      </w:r>
      <w:r>
        <w:rPr>
          <w:rFonts w:ascii="Calibri-BoldItalic" w:hAnsi="Calibri-BoldItalic"/>
          <w:b/>
          <w:bCs/>
          <w:i/>
          <w:iCs/>
          <w:color w:val="000000"/>
          <w:sz w:val="22"/>
          <w:szCs w:val="22"/>
        </w:rPr>
        <w:br/>
      </w:r>
      <w:r>
        <w:rPr>
          <w:rStyle w:val="fontstyle01"/>
        </w:rPr>
        <w:t xml:space="preserve">1. The data exporter agrees to deposit a copy of this contract with the supervisory authority if it so requests or if such deposit is required under the applicable data </w:t>
      </w:r>
      <w:r>
        <w:rPr>
          <w:rStyle w:val="fontstyle01"/>
        </w:rPr>
        <w:t>protection law.</w:t>
      </w:r>
      <w:r>
        <w:rPr>
          <w:rFonts w:ascii="Calibri" w:hAnsi="Calibri" w:cs="Calibri"/>
          <w:color w:val="000000"/>
          <w:sz w:val="22"/>
          <w:szCs w:val="22"/>
        </w:rPr>
        <w:br/>
      </w:r>
      <w:r>
        <w:rPr>
          <w:rStyle w:val="fontstyle01"/>
        </w:rPr>
        <w:t xml:space="preserve">2. The parties agree that the supervisory authority has the right to conduct an audit of the data importer, and of any </w:t>
      </w:r>
      <w:proofErr w:type="spellStart"/>
      <w:r>
        <w:rPr>
          <w:rStyle w:val="fontstyle01"/>
        </w:rPr>
        <w:t>subprocessor</w:t>
      </w:r>
      <w:proofErr w:type="spellEnd"/>
      <w:r>
        <w:rPr>
          <w:rStyle w:val="fontstyle01"/>
        </w:rPr>
        <w:t>, which has the same scope and is subject to the same conditions as would apply to an audit of the data exporter under the applicable data protection law.</w:t>
      </w:r>
      <w:r>
        <w:rPr>
          <w:rFonts w:ascii="Calibri" w:hAnsi="Calibri" w:cs="Calibri"/>
          <w:color w:val="000000"/>
          <w:sz w:val="22"/>
          <w:szCs w:val="22"/>
        </w:rPr>
        <w:br/>
      </w:r>
      <w:r>
        <w:rPr>
          <w:rStyle w:val="fontstyle01"/>
        </w:rPr>
        <w:t xml:space="preserve">3. The data importer shall promptly inform the data exporter about the existence of legislation applicable to it or any </w:t>
      </w:r>
      <w:proofErr w:type="spellStart"/>
      <w:r>
        <w:rPr>
          <w:rStyle w:val="fontstyle01"/>
        </w:rPr>
        <w:t>subprocessor</w:t>
      </w:r>
      <w:proofErr w:type="spellEnd"/>
      <w:r>
        <w:rPr>
          <w:rStyle w:val="fontstyle01"/>
        </w:rPr>
        <w:t xml:space="preserve"> preventing the conduct of an audit of the data importer, or any </w:t>
      </w:r>
      <w:proofErr w:type="spellStart"/>
      <w:r>
        <w:rPr>
          <w:rStyle w:val="fontstyle01"/>
        </w:rPr>
        <w:t>subprocessor</w:t>
      </w:r>
      <w:proofErr w:type="spellEnd"/>
      <w:r>
        <w:rPr>
          <w:rStyle w:val="fontstyle01"/>
        </w:rPr>
        <w:t>,</w:t>
      </w:r>
      <w:r>
        <w:rPr>
          <w:rStyle w:val="fontstyle01"/>
        </w:rPr>
        <w:t xml:space="preserve"> pursuant to paragraph 2. In such a case the data exporter shall be entitled to take the measures foreseen in Clause 5 (b).</w:t>
      </w:r>
      <w:r>
        <w:rPr>
          <w:rFonts w:ascii="Calibri" w:hAnsi="Calibri" w:cs="Calibri"/>
          <w:color w:val="000000"/>
          <w:sz w:val="22"/>
          <w:szCs w:val="22"/>
        </w:rPr>
        <w:br/>
      </w:r>
    </w:p>
    <w:p w14:paraId="5B39DCD3" w14:textId="77777777" w:rsidR="004628BB" w:rsidRDefault="002C5754">
      <w:pPr>
        <w:pStyle w:val="NormalWeb"/>
        <w:spacing w:before="0" w:beforeAutospacing="0" w:after="240" w:afterAutospacing="0"/>
        <w:rPr>
          <w:rStyle w:val="fontstyle01"/>
        </w:rPr>
      </w:pPr>
      <w:r>
        <w:rPr>
          <w:rFonts w:ascii="TimesNewRomanPSMT" w:hAnsi="TimesNewRomanPSMT"/>
          <w:color w:val="000000"/>
        </w:rPr>
        <w:br/>
      </w:r>
      <w:r>
        <w:rPr>
          <w:rStyle w:val="fontstyle21"/>
        </w:rPr>
        <w:t>Clause 9</w:t>
      </w:r>
      <w:r>
        <w:rPr>
          <w:rFonts w:ascii="Calibri-Italic" w:hAnsi="Calibri-Italic"/>
          <w:i/>
          <w:iCs/>
          <w:color w:val="000000"/>
          <w:sz w:val="22"/>
          <w:szCs w:val="22"/>
        </w:rPr>
        <w:br/>
      </w:r>
      <w:r>
        <w:rPr>
          <w:rStyle w:val="fontstyle31"/>
        </w:rPr>
        <w:t>Governing Law</w:t>
      </w:r>
      <w:r>
        <w:rPr>
          <w:rFonts w:ascii="Calibri-BoldItalic" w:hAnsi="Calibri-BoldItalic"/>
          <w:b/>
          <w:bCs/>
          <w:i/>
          <w:iCs/>
          <w:color w:val="000000"/>
          <w:sz w:val="22"/>
          <w:szCs w:val="22"/>
        </w:rPr>
        <w:br/>
      </w:r>
      <w:r>
        <w:rPr>
          <w:rStyle w:val="fontstyle01"/>
        </w:rPr>
        <w:t>The Clauses shall be governed by the law of the Member State in which the data exporter is established.</w:t>
      </w:r>
    </w:p>
    <w:p w14:paraId="5B39DCD4" w14:textId="77777777" w:rsidR="004628BB" w:rsidRDefault="002C5754">
      <w:pPr>
        <w:pStyle w:val="NormalWeb"/>
        <w:spacing w:before="0" w:beforeAutospacing="0" w:after="240" w:afterAutospacing="0"/>
        <w:rPr>
          <w:rStyle w:val="fontstyle01"/>
        </w:rPr>
      </w:pPr>
      <w:r>
        <w:rPr>
          <w:rFonts w:ascii="Calibri" w:hAnsi="Calibri" w:cs="Calibri"/>
          <w:color w:val="000000"/>
          <w:sz w:val="22"/>
          <w:szCs w:val="22"/>
        </w:rPr>
        <w:br/>
      </w:r>
      <w:r>
        <w:rPr>
          <w:rStyle w:val="fontstyle21"/>
        </w:rPr>
        <w:t>Clause 10</w:t>
      </w:r>
      <w:r>
        <w:rPr>
          <w:rFonts w:ascii="Calibri-Italic" w:hAnsi="Calibri-Italic"/>
          <w:i/>
          <w:iCs/>
          <w:color w:val="000000"/>
          <w:sz w:val="22"/>
          <w:szCs w:val="22"/>
        </w:rPr>
        <w:br/>
      </w:r>
      <w:r>
        <w:rPr>
          <w:rStyle w:val="fontstyle31"/>
        </w:rPr>
        <w:t>Variation of the contract</w:t>
      </w:r>
      <w:r>
        <w:rPr>
          <w:rFonts w:ascii="Calibri-BoldItalic" w:hAnsi="Calibri-BoldItalic"/>
          <w:b/>
          <w:bCs/>
          <w:i/>
          <w:iCs/>
          <w:color w:val="000000"/>
          <w:sz w:val="22"/>
          <w:szCs w:val="22"/>
        </w:rPr>
        <w:br/>
      </w:r>
      <w:r>
        <w:rPr>
          <w:rStyle w:val="fontstyle01"/>
        </w:rPr>
        <w:t xml:space="preserve">The parties undertake not to vary or modify the Clauses. This does not preclude the parties </w:t>
      </w:r>
      <w:r>
        <w:rPr>
          <w:rStyle w:val="fontstyle01"/>
        </w:rPr>
        <w:lastRenderedPageBreak/>
        <w:t xml:space="preserve">from adding clauses on business related issues where required </w:t>
      </w:r>
      <w:proofErr w:type="gramStart"/>
      <w:r>
        <w:rPr>
          <w:rStyle w:val="fontstyle01"/>
        </w:rPr>
        <w:t>as long as</w:t>
      </w:r>
      <w:proofErr w:type="gramEnd"/>
      <w:r>
        <w:rPr>
          <w:rStyle w:val="fontstyle01"/>
        </w:rPr>
        <w:t xml:space="preserve"> they do not contradict the Clause.</w:t>
      </w:r>
    </w:p>
    <w:p w14:paraId="5B39DCD5" w14:textId="77777777" w:rsidR="004628BB" w:rsidRDefault="002C5754">
      <w:pPr>
        <w:pStyle w:val="NormalWeb"/>
        <w:spacing w:before="0" w:beforeAutospacing="0" w:after="240" w:afterAutospacing="0"/>
        <w:rPr>
          <w:rStyle w:val="fontstyle01"/>
        </w:rPr>
      </w:pPr>
      <w:r>
        <w:rPr>
          <w:rFonts w:ascii="Calibri" w:hAnsi="Calibri" w:cs="Calibri"/>
          <w:color w:val="000000"/>
          <w:sz w:val="22"/>
          <w:szCs w:val="22"/>
        </w:rPr>
        <w:br/>
      </w:r>
      <w:r>
        <w:rPr>
          <w:rStyle w:val="fontstyle21"/>
        </w:rPr>
        <w:t>Clause 11</w:t>
      </w:r>
      <w:r>
        <w:rPr>
          <w:rFonts w:ascii="Calibri-Italic" w:hAnsi="Calibri-Italic"/>
          <w:i/>
          <w:iCs/>
          <w:color w:val="000000"/>
          <w:sz w:val="22"/>
          <w:szCs w:val="22"/>
        </w:rPr>
        <w:br/>
      </w:r>
      <w:proofErr w:type="spellStart"/>
      <w:r>
        <w:rPr>
          <w:rStyle w:val="fontstyle31"/>
        </w:rPr>
        <w:t>Subprocessing</w:t>
      </w:r>
      <w:proofErr w:type="spellEnd"/>
      <w:r>
        <w:rPr>
          <w:rFonts w:ascii="Calibri-BoldItalic" w:hAnsi="Calibri-BoldItalic"/>
          <w:b/>
          <w:bCs/>
          <w:i/>
          <w:iCs/>
          <w:color w:val="000000"/>
          <w:sz w:val="22"/>
          <w:szCs w:val="22"/>
        </w:rPr>
        <w:br/>
      </w:r>
      <w:r>
        <w:rPr>
          <w:rStyle w:val="fontstyle01"/>
        </w:rPr>
        <w:t xml:space="preserve">1. The data importer shall not subcontract any of its processing operations performed on behalf of the data exporter under the Clauses without the prior written consent of the data exporter. Where the data importer subcontracts its obligations under the Clauses, with the consent of the data exporter, it shall do so only by way of a written agreement with the </w:t>
      </w:r>
      <w:proofErr w:type="spellStart"/>
      <w:r>
        <w:rPr>
          <w:rStyle w:val="fontstyle01"/>
        </w:rPr>
        <w:t>subprocessor</w:t>
      </w:r>
      <w:proofErr w:type="spellEnd"/>
      <w:r>
        <w:rPr>
          <w:rStyle w:val="fontstyle01"/>
        </w:rPr>
        <w:t xml:space="preserve"> which imposes the same obligations on the </w:t>
      </w:r>
      <w:proofErr w:type="spellStart"/>
      <w:r>
        <w:rPr>
          <w:rStyle w:val="fontstyle01"/>
        </w:rPr>
        <w:t>subprocessor</w:t>
      </w:r>
      <w:proofErr w:type="spellEnd"/>
      <w:r>
        <w:rPr>
          <w:rStyle w:val="fontstyle01"/>
        </w:rPr>
        <w:t xml:space="preserve"> as are imposed on the data importer under the Clauses. Wher</w:t>
      </w:r>
      <w:r>
        <w:rPr>
          <w:rStyle w:val="fontstyle01"/>
        </w:rPr>
        <w:t xml:space="preserve">e the </w:t>
      </w:r>
      <w:proofErr w:type="spellStart"/>
      <w:r>
        <w:rPr>
          <w:rStyle w:val="fontstyle01"/>
        </w:rPr>
        <w:t>subprocessor</w:t>
      </w:r>
      <w:proofErr w:type="spellEnd"/>
      <w:r>
        <w:rPr>
          <w:rStyle w:val="fontstyle01"/>
        </w:rPr>
        <w:t xml:space="preserve"> fails to fulfil its data protection obligations under such written agreement the data importer shall remain fully liable to the data exporter for the performance of the </w:t>
      </w:r>
      <w:proofErr w:type="spellStart"/>
      <w:r>
        <w:rPr>
          <w:rStyle w:val="fontstyle01"/>
        </w:rPr>
        <w:t>subprocessor's</w:t>
      </w:r>
      <w:proofErr w:type="spellEnd"/>
      <w:r>
        <w:rPr>
          <w:rStyle w:val="fontstyle01"/>
        </w:rPr>
        <w:t xml:space="preserve"> obligations under such agreement.</w:t>
      </w:r>
    </w:p>
    <w:p w14:paraId="5B39DCD6" w14:textId="77777777" w:rsidR="004628BB" w:rsidRDefault="002C5754">
      <w:pPr>
        <w:pStyle w:val="NormalWeb"/>
        <w:spacing w:before="0" w:beforeAutospacing="0" w:after="240" w:afterAutospacing="0"/>
        <w:rPr>
          <w:rStyle w:val="fontstyle01"/>
        </w:rPr>
      </w:pPr>
      <w:r>
        <w:rPr>
          <w:rFonts w:ascii="Calibri" w:hAnsi="Calibri" w:cs="Calibri"/>
          <w:color w:val="000000"/>
          <w:sz w:val="22"/>
          <w:szCs w:val="22"/>
        </w:rPr>
        <w:br/>
      </w:r>
      <w:r>
        <w:rPr>
          <w:rStyle w:val="fontstyle01"/>
        </w:rPr>
        <w:t xml:space="preserve">2. The prior written contract </w:t>
      </w:r>
      <w:r>
        <w:rPr>
          <w:rStyle w:val="fontstyle01"/>
        </w:rPr>
        <w:t xml:space="preserve">between the data importer and the </w:t>
      </w:r>
      <w:proofErr w:type="spellStart"/>
      <w:r>
        <w:rPr>
          <w:rStyle w:val="fontstyle01"/>
        </w:rPr>
        <w:t>subprocessor</w:t>
      </w:r>
      <w:proofErr w:type="spellEnd"/>
      <w:r>
        <w:rPr>
          <w:rStyle w:val="fontstyle01"/>
        </w:rPr>
        <w:t xml:space="preserve"> shall also provide for a third-party beneficiary clause as laid down in Clause 3 for cases where the data subject is not able to bring the claim for compensation referred to in paragraph 1 of Clause 6 against the data exporter or the data importer because they have factually disappeared or have ceased to exist in law or have become insolvent and no successor entity has assumed the entire legal obligations of the data exporter or data importer by contract or by </w:t>
      </w:r>
      <w:r>
        <w:rPr>
          <w:rStyle w:val="fontstyle01"/>
        </w:rPr>
        <w:t xml:space="preserve">operation of law. Such </w:t>
      </w:r>
      <w:proofErr w:type="spellStart"/>
      <w:r>
        <w:rPr>
          <w:rStyle w:val="fontstyle01"/>
        </w:rPr>
        <w:t>thirdparty</w:t>
      </w:r>
      <w:proofErr w:type="spellEnd"/>
      <w:r>
        <w:rPr>
          <w:rStyle w:val="fontstyle01"/>
        </w:rPr>
        <w:t xml:space="preserve"> liability of the </w:t>
      </w:r>
      <w:proofErr w:type="spellStart"/>
      <w:r>
        <w:rPr>
          <w:rStyle w:val="fontstyle01"/>
        </w:rPr>
        <w:t>subprocessor</w:t>
      </w:r>
      <w:proofErr w:type="spellEnd"/>
      <w:r>
        <w:rPr>
          <w:rStyle w:val="fontstyle01"/>
        </w:rPr>
        <w:t xml:space="preserve"> shall be limited to its own processing operations under the Clauses.</w:t>
      </w:r>
    </w:p>
    <w:p w14:paraId="5B39DCD7" w14:textId="77777777" w:rsidR="004628BB" w:rsidRDefault="002C5754">
      <w:pPr>
        <w:pStyle w:val="NormalWeb"/>
        <w:spacing w:before="0" w:beforeAutospacing="0" w:after="240" w:afterAutospacing="0"/>
        <w:rPr>
          <w:rStyle w:val="fontstyle01"/>
        </w:rPr>
      </w:pPr>
      <w:r>
        <w:rPr>
          <w:rFonts w:ascii="Calibri" w:hAnsi="Calibri" w:cs="Calibri"/>
          <w:color w:val="000000"/>
          <w:sz w:val="22"/>
          <w:szCs w:val="22"/>
        </w:rPr>
        <w:br/>
      </w:r>
      <w:r>
        <w:rPr>
          <w:rStyle w:val="fontstyle01"/>
        </w:rPr>
        <w:t xml:space="preserve">3. The provisions relating to data protection aspects for </w:t>
      </w:r>
      <w:proofErr w:type="spellStart"/>
      <w:r>
        <w:rPr>
          <w:rStyle w:val="fontstyle01"/>
        </w:rPr>
        <w:t>subprocessing</w:t>
      </w:r>
      <w:proofErr w:type="spellEnd"/>
      <w:r>
        <w:rPr>
          <w:rStyle w:val="fontstyle01"/>
        </w:rPr>
        <w:t xml:space="preserve"> of the contract referred to in paragraph 1 shall be governed by the law of the Member State in which the data exporter is established.</w:t>
      </w:r>
    </w:p>
    <w:p w14:paraId="5B39DCD8" w14:textId="77777777" w:rsidR="004628BB" w:rsidRDefault="002C5754">
      <w:pPr>
        <w:pStyle w:val="NormalWeb"/>
        <w:spacing w:before="0" w:beforeAutospacing="0" w:after="240" w:afterAutospacing="0"/>
        <w:rPr>
          <w:rStyle w:val="fontstyle01"/>
        </w:rPr>
      </w:pPr>
      <w:r>
        <w:rPr>
          <w:rFonts w:ascii="Calibri" w:hAnsi="Calibri" w:cs="Calibri"/>
          <w:color w:val="000000"/>
          <w:sz w:val="22"/>
          <w:szCs w:val="22"/>
        </w:rPr>
        <w:br/>
      </w:r>
      <w:r>
        <w:rPr>
          <w:rStyle w:val="fontstyle01"/>
        </w:rPr>
        <w:t xml:space="preserve">4. The data exporter shall keep a list of </w:t>
      </w:r>
      <w:proofErr w:type="spellStart"/>
      <w:r>
        <w:rPr>
          <w:rStyle w:val="fontstyle01"/>
        </w:rPr>
        <w:t>subprocessing</w:t>
      </w:r>
      <w:proofErr w:type="spellEnd"/>
      <w:r>
        <w:rPr>
          <w:rStyle w:val="fontstyle01"/>
        </w:rPr>
        <w:t xml:space="preserve"> agreements concluded under the Clauses and notified by the data importer pursuant to Clause 5 (j), which shall be updated at least once a year. The list shall be available to the data exporter's data protection supervisory authority.</w:t>
      </w:r>
    </w:p>
    <w:p w14:paraId="5B39DCD9" w14:textId="77777777" w:rsidR="004628BB" w:rsidRDefault="004628BB">
      <w:pPr>
        <w:pStyle w:val="NormalWeb"/>
        <w:spacing w:before="0" w:beforeAutospacing="0" w:after="240" w:afterAutospacing="0"/>
        <w:rPr>
          <w:rStyle w:val="fontstyle21"/>
        </w:rPr>
      </w:pPr>
    </w:p>
    <w:p w14:paraId="5B39DCDA" w14:textId="77777777" w:rsidR="004628BB" w:rsidRDefault="004628BB">
      <w:pPr>
        <w:pStyle w:val="NormalWeb"/>
        <w:spacing w:before="0" w:beforeAutospacing="0" w:after="240" w:afterAutospacing="0"/>
        <w:rPr>
          <w:rStyle w:val="fontstyle21"/>
        </w:rPr>
      </w:pPr>
    </w:p>
    <w:p w14:paraId="5B39DCDB" w14:textId="77777777" w:rsidR="004628BB" w:rsidRDefault="002C5754">
      <w:pPr>
        <w:pStyle w:val="NormalWeb"/>
        <w:spacing w:before="0" w:beforeAutospacing="0" w:after="240" w:afterAutospacing="0"/>
        <w:rPr>
          <w:rStyle w:val="fontstyle01"/>
        </w:rPr>
      </w:pPr>
      <w:r>
        <w:rPr>
          <w:rStyle w:val="fontstyle21"/>
        </w:rPr>
        <w:t>Clause 12</w:t>
      </w:r>
      <w:r>
        <w:rPr>
          <w:rFonts w:ascii="Calibri-Italic" w:hAnsi="Calibri-Italic"/>
          <w:i/>
          <w:iCs/>
          <w:color w:val="000000"/>
          <w:sz w:val="22"/>
          <w:szCs w:val="22"/>
        </w:rPr>
        <w:br/>
      </w:r>
      <w:r>
        <w:rPr>
          <w:rStyle w:val="fontstyle31"/>
        </w:rPr>
        <w:t>Obligation after the termination of personal data processing services</w:t>
      </w:r>
      <w:r>
        <w:rPr>
          <w:rFonts w:ascii="Calibri-BoldItalic" w:hAnsi="Calibri-BoldItalic"/>
          <w:b/>
          <w:bCs/>
          <w:i/>
          <w:iCs/>
          <w:color w:val="000000"/>
          <w:sz w:val="22"/>
          <w:szCs w:val="22"/>
        </w:rPr>
        <w:br/>
      </w:r>
      <w:r>
        <w:rPr>
          <w:rStyle w:val="fontstyle01"/>
        </w:rPr>
        <w:t xml:space="preserve">1. The parties agree that on the termination of the provision of data processing services, the data importer and the </w:t>
      </w:r>
      <w:proofErr w:type="spellStart"/>
      <w:r>
        <w:rPr>
          <w:rStyle w:val="fontstyle01"/>
        </w:rPr>
        <w:t>subprocessor</w:t>
      </w:r>
      <w:proofErr w:type="spellEnd"/>
      <w:r>
        <w:rPr>
          <w:rStyle w:val="fontstyle01"/>
        </w:rPr>
        <w:t xml:space="preserve"> shall, at the choice of the data exporter, return all the personal data transferred and the copies thereof to the data exporter or shall destroy all the personal data and certify to the data exporter that it has done so, unless legislation imposed upon the data importer prevents it from returning or destroying</w:t>
      </w:r>
      <w:r>
        <w:rPr>
          <w:rStyle w:val="fontstyle01"/>
        </w:rPr>
        <w:t xml:space="preserve"> all or part of the personal data transferred. In that case, the data importer warrants that it will guarantee the confidentiality of the personal data transferred and will not actively process the personal data transferred anymore.</w:t>
      </w:r>
    </w:p>
    <w:p w14:paraId="5B39DCDC" w14:textId="77777777" w:rsidR="004628BB" w:rsidRDefault="002C5754">
      <w:pPr>
        <w:pStyle w:val="NormalWeb"/>
        <w:spacing w:before="0" w:beforeAutospacing="0" w:after="240" w:afterAutospacing="0"/>
        <w:rPr>
          <w:rStyle w:val="fontstyle01"/>
        </w:rPr>
      </w:pPr>
      <w:r>
        <w:rPr>
          <w:rStyle w:val="fontstyle01"/>
        </w:rPr>
        <w:lastRenderedPageBreak/>
        <w:t xml:space="preserve">2. The data importer and the </w:t>
      </w:r>
      <w:proofErr w:type="spellStart"/>
      <w:r>
        <w:rPr>
          <w:rStyle w:val="fontstyle01"/>
        </w:rPr>
        <w:t>subprocessor</w:t>
      </w:r>
      <w:proofErr w:type="spellEnd"/>
      <w:r>
        <w:rPr>
          <w:rStyle w:val="fontstyle01"/>
        </w:rPr>
        <w:t xml:space="preserve"> warrant that upon request of the data exporter and / or of the supervisory authority, it will submit its data processing facilities for an audit of the measures referred to in paragraph 1.</w:t>
      </w:r>
    </w:p>
    <w:p w14:paraId="5B39DCDD" w14:textId="77777777" w:rsidR="004628BB" w:rsidRDefault="004628BB">
      <w:pPr>
        <w:pStyle w:val="NormalWeb"/>
        <w:spacing w:before="0" w:beforeAutospacing="0" w:after="240" w:afterAutospacing="0"/>
        <w:rPr>
          <w:rStyle w:val="fontstyle01"/>
          <w:b/>
          <w:bCs/>
          <w:u w:val="single"/>
        </w:rPr>
      </w:pPr>
    </w:p>
    <w:p w14:paraId="5B39DCDE" w14:textId="77777777" w:rsidR="004628BB" w:rsidRDefault="004628BB">
      <w:pPr>
        <w:pStyle w:val="NormalWeb"/>
        <w:spacing w:before="0" w:beforeAutospacing="0" w:after="240" w:afterAutospacing="0"/>
        <w:rPr>
          <w:rStyle w:val="fontstyle01"/>
          <w:b/>
          <w:bCs/>
          <w:u w:val="single"/>
        </w:rPr>
      </w:pPr>
    </w:p>
    <w:p w14:paraId="5B39DCDF" w14:textId="77777777" w:rsidR="004628BB" w:rsidRDefault="004628BB">
      <w:pPr>
        <w:pStyle w:val="NormalWeb"/>
        <w:spacing w:before="0" w:beforeAutospacing="0" w:after="240" w:afterAutospacing="0"/>
        <w:rPr>
          <w:rStyle w:val="fontstyle01"/>
          <w:b/>
          <w:bCs/>
          <w:u w:val="single"/>
        </w:rPr>
      </w:pPr>
    </w:p>
    <w:p w14:paraId="5B39DCE0" w14:textId="77777777" w:rsidR="004628BB" w:rsidRDefault="004628BB">
      <w:pPr>
        <w:pStyle w:val="NormalWeb"/>
        <w:spacing w:before="0" w:beforeAutospacing="0" w:after="240" w:afterAutospacing="0"/>
        <w:rPr>
          <w:rStyle w:val="fontstyle01"/>
          <w:b/>
          <w:bCs/>
          <w:u w:val="single"/>
        </w:rPr>
      </w:pPr>
    </w:p>
    <w:p w14:paraId="5B39DCE1" w14:textId="77777777" w:rsidR="004628BB" w:rsidRDefault="004628BB">
      <w:pPr>
        <w:pStyle w:val="NormalWeb"/>
        <w:spacing w:before="0" w:beforeAutospacing="0" w:after="240" w:afterAutospacing="0"/>
        <w:rPr>
          <w:rStyle w:val="fontstyle01"/>
          <w:b/>
          <w:bCs/>
          <w:u w:val="single"/>
        </w:rPr>
      </w:pPr>
    </w:p>
    <w:p w14:paraId="5B39DCE2" w14:textId="77777777" w:rsidR="004628BB" w:rsidRDefault="004628BB">
      <w:pPr>
        <w:pStyle w:val="NormalWeb"/>
        <w:spacing w:before="0" w:beforeAutospacing="0" w:after="240" w:afterAutospacing="0"/>
        <w:rPr>
          <w:rStyle w:val="fontstyle01"/>
          <w:b/>
          <w:bCs/>
          <w:u w:val="single"/>
        </w:rPr>
      </w:pPr>
    </w:p>
    <w:p w14:paraId="5B39DCE3" w14:textId="77777777" w:rsidR="004628BB" w:rsidRDefault="004628BB">
      <w:pPr>
        <w:pStyle w:val="NormalWeb"/>
        <w:spacing w:before="0" w:beforeAutospacing="0" w:after="240" w:afterAutospacing="0"/>
        <w:rPr>
          <w:rStyle w:val="fontstyle01"/>
          <w:b/>
          <w:bCs/>
          <w:u w:val="single"/>
        </w:rPr>
      </w:pPr>
    </w:p>
    <w:p w14:paraId="5B39DCE4" w14:textId="77777777" w:rsidR="004628BB" w:rsidRDefault="004628BB">
      <w:pPr>
        <w:pStyle w:val="NormalWeb"/>
        <w:spacing w:before="0" w:beforeAutospacing="0" w:after="240" w:afterAutospacing="0"/>
        <w:rPr>
          <w:rStyle w:val="fontstyle01"/>
          <w:b/>
          <w:bCs/>
          <w:u w:val="single"/>
        </w:rPr>
      </w:pPr>
    </w:p>
    <w:p w14:paraId="5B39DCE5" w14:textId="77777777" w:rsidR="004628BB" w:rsidRDefault="004628BB">
      <w:pPr>
        <w:pStyle w:val="NormalWeb"/>
        <w:spacing w:before="0" w:beforeAutospacing="0" w:after="240" w:afterAutospacing="0"/>
        <w:rPr>
          <w:rStyle w:val="fontstyle01"/>
          <w:b/>
          <w:bCs/>
          <w:u w:val="single"/>
        </w:rPr>
      </w:pPr>
    </w:p>
    <w:p w14:paraId="5B39DCE6" w14:textId="77777777" w:rsidR="004628BB" w:rsidRDefault="004628BB">
      <w:pPr>
        <w:pStyle w:val="NormalWeb"/>
        <w:spacing w:before="0" w:beforeAutospacing="0" w:after="240" w:afterAutospacing="0"/>
        <w:rPr>
          <w:rStyle w:val="fontstyle01"/>
          <w:b/>
          <w:bCs/>
          <w:u w:val="single"/>
        </w:rPr>
      </w:pPr>
    </w:p>
    <w:p w14:paraId="5B39DCE7" w14:textId="77777777" w:rsidR="004628BB" w:rsidRDefault="004628BB">
      <w:pPr>
        <w:pStyle w:val="NormalWeb"/>
        <w:spacing w:before="0" w:beforeAutospacing="0" w:after="240" w:afterAutospacing="0"/>
        <w:rPr>
          <w:rStyle w:val="fontstyle01"/>
          <w:b/>
          <w:bCs/>
          <w:u w:val="single"/>
        </w:rPr>
      </w:pPr>
    </w:p>
    <w:p w14:paraId="5B39DCE8" w14:textId="77777777" w:rsidR="004628BB" w:rsidRDefault="004628BB">
      <w:pPr>
        <w:pStyle w:val="NormalWeb"/>
        <w:spacing w:before="0" w:beforeAutospacing="0" w:after="240" w:afterAutospacing="0"/>
        <w:rPr>
          <w:rStyle w:val="fontstyle01"/>
          <w:b/>
          <w:bCs/>
          <w:u w:val="single"/>
        </w:rPr>
      </w:pPr>
    </w:p>
    <w:p w14:paraId="5B39DCE9" w14:textId="77777777" w:rsidR="004628BB" w:rsidRDefault="004628BB">
      <w:pPr>
        <w:pStyle w:val="NormalWeb"/>
        <w:spacing w:before="0" w:beforeAutospacing="0" w:after="240" w:afterAutospacing="0"/>
        <w:rPr>
          <w:rStyle w:val="fontstyle01"/>
          <w:b/>
          <w:bCs/>
          <w:u w:val="single"/>
        </w:rPr>
      </w:pPr>
    </w:p>
    <w:p w14:paraId="5B39DCEA" w14:textId="77777777" w:rsidR="004628BB" w:rsidRDefault="004628BB">
      <w:pPr>
        <w:pStyle w:val="NormalWeb"/>
        <w:spacing w:before="0" w:beforeAutospacing="0" w:after="240" w:afterAutospacing="0"/>
        <w:rPr>
          <w:rStyle w:val="fontstyle01"/>
          <w:b/>
          <w:bCs/>
          <w:u w:val="single"/>
        </w:rPr>
      </w:pPr>
    </w:p>
    <w:p w14:paraId="5B39DCEB" w14:textId="77777777" w:rsidR="004628BB" w:rsidRDefault="004628BB">
      <w:pPr>
        <w:pStyle w:val="NormalWeb"/>
        <w:spacing w:before="0" w:beforeAutospacing="0" w:after="240" w:afterAutospacing="0"/>
        <w:rPr>
          <w:rStyle w:val="fontstyle01"/>
          <w:b/>
          <w:bCs/>
          <w:u w:val="single"/>
        </w:rPr>
      </w:pPr>
    </w:p>
    <w:p w14:paraId="5B39DCEC" w14:textId="77777777" w:rsidR="004628BB" w:rsidRDefault="004628BB">
      <w:pPr>
        <w:pStyle w:val="NormalWeb"/>
        <w:spacing w:before="0" w:beforeAutospacing="0" w:after="240" w:afterAutospacing="0"/>
        <w:rPr>
          <w:rStyle w:val="fontstyle01"/>
          <w:b/>
          <w:bCs/>
          <w:u w:val="single"/>
        </w:rPr>
      </w:pPr>
    </w:p>
    <w:p w14:paraId="5B39DCED" w14:textId="77777777" w:rsidR="004628BB" w:rsidRDefault="004628BB">
      <w:pPr>
        <w:pStyle w:val="NormalWeb"/>
        <w:spacing w:before="0" w:beforeAutospacing="0" w:after="240" w:afterAutospacing="0"/>
        <w:rPr>
          <w:rStyle w:val="fontstyle01"/>
          <w:b/>
          <w:bCs/>
          <w:u w:val="single"/>
        </w:rPr>
      </w:pPr>
    </w:p>
    <w:p w14:paraId="5B39DCEE" w14:textId="77777777" w:rsidR="004628BB" w:rsidRDefault="004628BB">
      <w:pPr>
        <w:pStyle w:val="NormalWeb"/>
        <w:spacing w:before="0" w:beforeAutospacing="0" w:after="240" w:afterAutospacing="0"/>
        <w:rPr>
          <w:rStyle w:val="fontstyle01"/>
          <w:b/>
          <w:bCs/>
          <w:u w:val="single"/>
        </w:rPr>
      </w:pPr>
    </w:p>
    <w:p w14:paraId="5B39DCEF" w14:textId="77777777" w:rsidR="004628BB" w:rsidRDefault="004628BB">
      <w:pPr>
        <w:pStyle w:val="NormalWeb"/>
        <w:spacing w:before="0" w:beforeAutospacing="0" w:after="240" w:afterAutospacing="0"/>
        <w:rPr>
          <w:rStyle w:val="fontstyle01"/>
          <w:b/>
          <w:bCs/>
          <w:u w:val="single"/>
        </w:rPr>
      </w:pPr>
    </w:p>
    <w:p w14:paraId="5B39DCF0" w14:textId="77777777" w:rsidR="004628BB" w:rsidRDefault="002C5754">
      <w:pPr>
        <w:pStyle w:val="NormalWeb"/>
        <w:spacing w:before="0" w:beforeAutospacing="0" w:after="240" w:afterAutospacing="0"/>
        <w:rPr>
          <w:rFonts w:ascii="Calibri" w:hAnsi="Calibri" w:cs="Calibri"/>
          <w:b/>
          <w:bCs/>
          <w:color w:val="000000"/>
          <w:sz w:val="22"/>
          <w:szCs w:val="22"/>
          <w:u w:val="single"/>
        </w:rPr>
      </w:pPr>
      <w:r>
        <w:rPr>
          <w:rStyle w:val="fontstyle01"/>
          <w:b/>
          <w:bCs/>
          <w:u w:val="single"/>
        </w:rPr>
        <w:t>Appendix 2</w:t>
      </w:r>
    </w:p>
    <w:p w14:paraId="5B39DCF1" w14:textId="77777777" w:rsidR="004628BB" w:rsidRDefault="002C5754">
      <w:pPr>
        <w:pStyle w:val="NormalWeb"/>
        <w:spacing w:before="0" w:beforeAutospacing="0" w:after="240" w:afterAutospacing="0"/>
        <w:rPr>
          <w:rFonts w:asciiTheme="minorHAnsi" w:eastAsia="MS Gothic" w:hAnsiTheme="minorHAnsi" w:cstheme="minorHAnsi"/>
          <w:b/>
          <w:color w:val="000000" w:themeColor="text1"/>
        </w:rPr>
      </w:pPr>
      <w:r>
        <w:rPr>
          <w:noProof/>
        </w:rPr>
        <w:lastRenderedPageBreak/>
        <w:drawing>
          <wp:inline distT="0" distB="0" distL="0" distR="0" wp14:anchorId="5B39DD18" wp14:editId="5B39DD19">
            <wp:extent cx="5274310" cy="3504565"/>
            <wp:effectExtent l="0" t="0" r="2540" b="635"/>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pic:cNvPicPr>
                  </pic:nvPicPr>
                  <pic:blipFill>
                    <a:blip r:embed="rId19"/>
                    <a:stretch>
                      <a:fillRect/>
                    </a:stretch>
                  </pic:blipFill>
                  <pic:spPr>
                    <a:xfrm>
                      <a:off x="0" y="0"/>
                      <a:ext cx="5274310" cy="3504565"/>
                    </a:xfrm>
                    <a:prstGeom prst="rect">
                      <a:avLst/>
                    </a:prstGeom>
                  </pic:spPr>
                </pic:pic>
              </a:graphicData>
            </a:graphic>
          </wp:inline>
        </w:drawing>
      </w:r>
    </w:p>
    <w:p w14:paraId="5B39DCF2"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rPr>
      </w:pPr>
    </w:p>
    <w:p w14:paraId="5B39DCF3"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rPr>
      </w:pPr>
    </w:p>
    <w:p w14:paraId="5B39DCF4"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5"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6"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7"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8"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9"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A"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B"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C"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D"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E"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CFF"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D00" w14:textId="77777777" w:rsidR="004628BB" w:rsidRDefault="002C5754">
      <w:pPr>
        <w:pStyle w:val="NormalWeb"/>
        <w:spacing w:before="0" w:beforeAutospacing="0" w:after="240" w:afterAutospacing="0"/>
        <w:rPr>
          <w:rFonts w:asciiTheme="minorHAnsi" w:eastAsia="MS Gothic" w:hAnsiTheme="minorHAnsi" w:cstheme="minorHAnsi"/>
          <w:b/>
          <w:color w:val="000000" w:themeColor="text1"/>
          <w:u w:val="single"/>
        </w:rPr>
      </w:pPr>
      <w:r>
        <w:rPr>
          <w:rFonts w:asciiTheme="minorHAnsi" w:eastAsia="MS Gothic" w:hAnsiTheme="minorHAnsi" w:cstheme="minorHAnsi"/>
          <w:b/>
          <w:color w:val="000000" w:themeColor="text1"/>
          <w:u w:val="single"/>
        </w:rPr>
        <w:t>Appendix 3</w:t>
      </w:r>
    </w:p>
    <w:p w14:paraId="5B39DD01" w14:textId="77777777" w:rsidR="004628BB" w:rsidRDefault="002C5754">
      <w:pPr>
        <w:pStyle w:val="NormalWeb"/>
        <w:spacing w:before="0" w:beforeAutospacing="0" w:after="240" w:afterAutospacing="0"/>
        <w:rPr>
          <w:rFonts w:asciiTheme="minorHAnsi" w:eastAsia="MS Gothic" w:hAnsiTheme="minorHAnsi" w:cstheme="minorHAnsi"/>
          <w:b/>
          <w:color w:val="000000" w:themeColor="text1"/>
          <w:u w:val="single"/>
        </w:rPr>
      </w:pPr>
      <w:r>
        <w:rPr>
          <w:noProof/>
        </w:rPr>
        <w:lastRenderedPageBreak/>
        <w:drawing>
          <wp:inline distT="0" distB="0" distL="0" distR="0" wp14:anchorId="5B39DD1A" wp14:editId="5B39DD1B">
            <wp:extent cx="5274310" cy="7191375"/>
            <wp:effectExtent l="0" t="0" r="2540" b="952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pic:cNvPicPr>
                  </pic:nvPicPr>
                  <pic:blipFill>
                    <a:blip r:embed="rId20"/>
                    <a:stretch>
                      <a:fillRect/>
                    </a:stretch>
                  </pic:blipFill>
                  <pic:spPr>
                    <a:xfrm>
                      <a:off x="0" y="0"/>
                      <a:ext cx="5274310" cy="7191375"/>
                    </a:xfrm>
                    <a:prstGeom prst="rect">
                      <a:avLst/>
                    </a:prstGeom>
                  </pic:spPr>
                </pic:pic>
              </a:graphicData>
            </a:graphic>
          </wp:inline>
        </w:drawing>
      </w:r>
    </w:p>
    <w:p w14:paraId="5B39DD02" w14:textId="77777777" w:rsidR="004628BB" w:rsidRDefault="002C5754">
      <w:pPr>
        <w:pStyle w:val="NormalWeb"/>
        <w:spacing w:before="0" w:beforeAutospacing="0" w:after="240" w:afterAutospacing="0"/>
        <w:rPr>
          <w:rFonts w:asciiTheme="minorHAnsi" w:eastAsia="MS Gothic" w:hAnsiTheme="minorHAnsi" w:cstheme="minorHAnsi"/>
          <w:b/>
          <w:color w:val="000000" w:themeColor="text1"/>
          <w:u w:val="single"/>
        </w:rPr>
      </w:pPr>
      <w:r>
        <w:rPr>
          <w:noProof/>
        </w:rPr>
        <w:lastRenderedPageBreak/>
        <w:drawing>
          <wp:inline distT="0" distB="0" distL="0" distR="0" wp14:anchorId="5B39DD1C" wp14:editId="5B39DD1D">
            <wp:extent cx="5274310" cy="5259705"/>
            <wp:effectExtent l="0" t="0" r="254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pic:cNvPicPr>
                  </pic:nvPicPr>
                  <pic:blipFill>
                    <a:blip r:embed="rId21"/>
                    <a:stretch>
                      <a:fillRect/>
                    </a:stretch>
                  </pic:blipFill>
                  <pic:spPr>
                    <a:xfrm>
                      <a:off x="0" y="0"/>
                      <a:ext cx="5274310" cy="5259705"/>
                    </a:xfrm>
                    <a:prstGeom prst="rect">
                      <a:avLst/>
                    </a:prstGeom>
                  </pic:spPr>
                </pic:pic>
              </a:graphicData>
            </a:graphic>
          </wp:inline>
        </w:drawing>
      </w:r>
    </w:p>
    <w:p w14:paraId="5B39DD03"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D04"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D05"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D06"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706C74FF" w14:textId="77777777" w:rsidR="002C5754" w:rsidRDefault="002C5754">
      <w:pPr>
        <w:pStyle w:val="NormalWeb"/>
        <w:spacing w:before="0" w:beforeAutospacing="0" w:after="240" w:afterAutospacing="0"/>
        <w:rPr>
          <w:rFonts w:asciiTheme="minorHAnsi" w:eastAsia="MS Gothic" w:hAnsiTheme="minorHAnsi" w:cstheme="minorHAnsi"/>
          <w:b/>
          <w:color w:val="000000" w:themeColor="text1"/>
          <w:u w:val="single"/>
        </w:rPr>
      </w:pPr>
    </w:p>
    <w:p w14:paraId="7A433417" w14:textId="77777777" w:rsidR="002C5754" w:rsidRDefault="002C5754">
      <w:pPr>
        <w:pStyle w:val="NormalWeb"/>
        <w:spacing w:before="0" w:beforeAutospacing="0" w:after="240" w:afterAutospacing="0"/>
        <w:rPr>
          <w:rFonts w:asciiTheme="minorHAnsi" w:eastAsia="MS Gothic" w:hAnsiTheme="minorHAnsi" w:cstheme="minorHAnsi"/>
          <w:b/>
          <w:color w:val="000000" w:themeColor="text1"/>
          <w:u w:val="single"/>
        </w:rPr>
      </w:pPr>
    </w:p>
    <w:p w14:paraId="479A3001" w14:textId="77777777" w:rsidR="002C5754" w:rsidRDefault="002C5754">
      <w:pPr>
        <w:pStyle w:val="NormalWeb"/>
        <w:spacing w:before="0" w:beforeAutospacing="0" w:after="240" w:afterAutospacing="0"/>
        <w:rPr>
          <w:rFonts w:asciiTheme="minorHAnsi" w:eastAsia="MS Gothic" w:hAnsiTheme="minorHAnsi" w:cstheme="minorHAnsi"/>
          <w:b/>
          <w:color w:val="000000" w:themeColor="text1"/>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
        <w:gridCol w:w="4249"/>
        <w:gridCol w:w="1116"/>
        <w:gridCol w:w="1134"/>
        <w:gridCol w:w="836"/>
      </w:tblGrid>
      <w:tr w:rsidR="002C5754" w:rsidRPr="002C5754" w14:paraId="6450F5F4" w14:textId="77777777" w:rsidTr="006941B8">
        <w:trPr>
          <w:trHeight w:val="397"/>
        </w:trPr>
        <w:tc>
          <w:tcPr>
            <w:tcW w:w="977" w:type="dxa"/>
            <w:shd w:val="clear" w:color="auto" w:fill="8A4691"/>
            <w:vAlign w:val="center"/>
          </w:tcPr>
          <w:p w14:paraId="29BDD945" w14:textId="77777777" w:rsidR="002C5754" w:rsidRPr="002C5754" w:rsidRDefault="002C5754" w:rsidP="002C5754">
            <w:pPr>
              <w:spacing w:after="200" w:line="276" w:lineRule="auto"/>
              <w:jc w:val="center"/>
              <w:rPr>
                <w:rFonts w:ascii="Brandon Grotesque" w:eastAsiaTheme="minorHAnsi" w:hAnsi="Brandon Grotesque" w:cstheme="minorHAnsi"/>
                <w:b/>
                <w:color w:val="FFFFFF" w:themeColor="background1"/>
                <w:sz w:val="18"/>
                <w:szCs w:val="18"/>
                <w:lang w:eastAsia="en-US"/>
              </w:rPr>
            </w:pPr>
            <w:r w:rsidRPr="002C5754">
              <w:rPr>
                <w:rFonts w:ascii="Brandon Grotesque" w:eastAsiaTheme="minorHAnsi" w:hAnsi="Brandon Grotesque" w:cstheme="minorHAnsi"/>
                <w:b/>
                <w:color w:val="FFFFFF" w:themeColor="background1"/>
                <w:sz w:val="18"/>
                <w:szCs w:val="18"/>
                <w:lang w:eastAsia="en-US"/>
              </w:rPr>
              <w:t>Version</w:t>
            </w:r>
          </w:p>
        </w:tc>
        <w:tc>
          <w:tcPr>
            <w:tcW w:w="4536" w:type="dxa"/>
            <w:shd w:val="clear" w:color="auto" w:fill="8A4691"/>
            <w:vAlign w:val="center"/>
          </w:tcPr>
          <w:p w14:paraId="7344EBE7" w14:textId="77777777" w:rsidR="002C5754" w:rsidRPr="002C5754" w:rsidRDefault="002C5754" w:rsidP="002C5754">
            <w:pPr>
              <w:spacing w:after="200" w:line="276" w:lineRule="auto"/>
              <w:jc w:val="center"/>
              <w:rPr>
                <w:rFonts w:ascii="Brandon Grotesque" w:eastAsiaTheme="minorHAnsi" w:hAnsi="Brandon Grotesque" w:cstheme="minorHAnsi"/>
                <w:b/>
                <w:color w:val="FFFFFF" w:themeColor="background1"/>
                <w:sz w:val="18"/>
                <w:szCs w:val="18"/>
                <w:lang w:eastAsia="en-US"/>
              </w:rPr>
            </w:pPr>
            <w:r w:rsidRPr="002C5754">
              <w:rPr>
                <w:rFonts w:ascii="Brandon Grotesque" w:eastAsiaTheme="minorHAnsi" w:hAnsi="Brandon Grotesque" w:cstheme="minorHAnsi"/>
                <w:b/>
                <w:color w:val="FFFFFF" w:themeColor="background1"/>
                <w:sz w:val="18"/>
                <w:szCs w:val="18"/>
                <w:lang w:eastAsia="en-US"/>
              </w:rPr>
              <w:t>Description of changes</w:t>
            </w:r>
          </w:p>
        </w:tc>
        <w:tc>
          <w:tcPr>
            <w:tcW w:w="1134" w:type="dxa"/>
            <w:shd w:val="clear" w:color="auto" w:fill="8A4691"/>
            <w:vAlign w:val="center"/>
          </w:tcPr>
          <w:p w14:paraId="361AF3D5" w14:textId="77777777" w:rsidR="002C5754" w:rsidRPr="002C5754" w:rsidRDefault="002C5754" w:rsidP="002C5754">
            <w:pPr>
              <w:spacing w:after="200" w:line="276" w:lineRule="auto"/>
              <w:jc w:val="center"/>
              <w:rPr>
                <w:rFonts w:ascii="Brandon Grotesque" w:eastAsiaTheme="minorHAnsi" w:hAnsi="Brandon Grotesque" w:cstheme="minorHAnsi"/>
                <w:b/>
                <w:color w:val="FFFFFF" w:themeColor="background1"/>
                <w:sz w:val="18"/>
                <w:szCs w:val="18"/>
                <w:lang w:eastAsia="en-US"/>
              </w:rPr>
            </w:pPr>
            <w:r w:rsidRPr="002C5754">
              <w:rPr>
                <w:rFonts w:ascii="Brandon Grotesque" w:eastAsiaTheme="minorHAnsi" w:hAnsi="Brandon Grotesque" w:cstheme="minorHAnsi"/>
                <w:b/>
                <w:color w:val="FFFFFF" w:themeColor="background1"/>
                <w:sz w:val="18"/>
                <w:szCs w:val="18"/>
                <w:lang w:eastAsia="en-US"/>
              </w:rPr>
              <w:t>Date</w:t>
            </w:r>
          </w:p>
        </w:tc>
        <w:tc>
          <w:tcPr>
            <w:tcW w:w="993" w:type="dxa"/>
            <w:shd w:val="clear" w:color="auto" w:fill="8A4691"/>
            <w:vAlign w:val="center"/>
          </w:tcPr>
          <w:p w14:paraId="4308F00C" w14:textId="77777777" w:rsidR="002C5754" w:rsidRPr="002C5754" w:rsidRDefault="002C5754" w:rsidP="002C5754">
            <w:pPr>
              <w:spacing w:after="200" w:line="276" w:lineRule="auto"/>
              <w:jc w:val="center"/>
              <w:rPr>
                <w:rFonts w:ascii="Brandon Grotesque" w:eastAsiaTheme="minorHAnsi" w:hAnsi="Brandon Grotesque" w:cstheme="minorHAnsi"/>
                <w:b/>
                <w:color w:val="FFFFFF" w:themeColor="background1"/>
                <w:sz w:val="18"/>
                <w:szCs w:val="18"/>
                <w:lang w:eastAsia="en-US"/>
              </w:rPr>
            </w:pPr>
            <w:r w:rsidRPr="002C5754">
              <w:rPr>
                <w:rFonts w:ascii="Brandon Grotesque" w:eastAsiaTheme="minorHAnsi" w:hAnsi="Brandon Grotesque" w:cstheme="minorHAnsi"/>
                <w:b/>
                <w:color w:val="FFFFFF" w:themeColor="background1"/>
                <w:sz w:val="18"/>
                <w:szCs w:val="18"/>
                <w:lang w:eastAsia="en-US"/>
              </w:rPr>
              <w:t>Auth</w:t>
            </w:r>
          </w:p>
        </w:tc>
        <w:tc>
          <w:tcPr>
            <w:tcW w:w="843" w:type="dxa"/>
            <w:shd w:val="clear" w:color="auto" w:fill="8A4691"/>
            <w:vAlign w:val="center"/>
          </w:tcPr>
          <w:p w14:paraId="48EDC2A4" w14:textId="77777777" w:rsidR="002C5754" w:rsidRPr="002C5754" w:rsidRDefault="002C5754" w:rsidP="002C5754">
            <w:pPr>
              <w:spacing w:after="200" w:line="276" w:lineRule="auto"/>
              <w:jc w:val="center"/>
              <w:rPr>
                <w:rFonts w:ascii="Brandon Grotesque" w:eastAsiaTheme="minorHAnsi" w:hAnsi="Brandon Grotesque" w:cstheme="minorHAnsi"/>
                <w:b/>
                <w:color w:val="FFFFFF" w:themeColor="background1"/>
                <w:sz w:val="18"/>
                <w:szCs w:val="18"/>
                <w:lang w:eastAsia="en-US"/>
              </w:rPr>
            </w:pPr>
            <w:r w:rsidRPr="002C5754">
              <w:rPr>
                <w:rFonts w:ascii="Brandon Grotesque" w:eastAsiaTheme="minorHAnsi" w:hAnsi="Brandon Grotesque" w:cstheme="minorHAnsi"/>
                <w:b/>
                <w:color w:val="FFFFFF" w:themeColor="background1"/>
                <w:sz w:val="18"/>
                <w:szCs w:val="18"/>
                <w:lang w:eastAsia="en-US"/>
              </w:rPr>
              <w:t>Appr.</w:t>
            </w:r>
          </w:p>
        </w:tc>
      </w:tr>
      <w:tr w:rsidR="002C5754" w:rsidRPr="002C5754" w14:paraId="78112FA8" w14:textId="77777777" w:rsidTr="006941B8">
        <w:trPr>
          <w:trHeight w:val="397"/>
        </w:trPr>
        <w:tc>
          <w:tcPr>
            <w:tcW w:w="977" w:type="dxa"/>
            <w:shd w:val="clear" w:color="auto" w:fill="auto"/>
          </w:tcPr>
          <w:p w14:paraId="10F86C75" w14:textId="08E8EDB7" w:rsidR="002C5754" w:rsidRPr="002C5754" w:rsidRDefault="002C5754" w:rsidP="002C5754">
            <w:pPr>
              <w:spacing w:after="200" w:line="276" w:lineRule="auto"/>
              <w:rPr>
                <w:rFonts w:asciiTheme="minorHAnsi" w:eastAsiaTheme="minorHAnsi" w:hAnsiTheme="minorHAnsi" w:cstheme="minorHAnsi"/>
                <w:b/>
                <w:bCs/>
                <w:sz w:val="18"/>
                <w:szCs w:val="18"/>
                <w:lang w:eastAsia="en-US"/>
              </w:rPr>
            </w:pPr>
            <w:r w:rsidRPr="002C5754">
              <w:rPr>
                <w:rFonts w:asciiTheme="minorHAnsi" w:eastAsiaTheme="minorHAnsi" w:hAnsiTheme="minorHAnsi" w:cstheme="minorHAnsi"/>
                <w:b/>
                <w:bCs/>
                <w:sz w:val="18"/>
                <w:szCs w:val="18"/>
                <w:lang w:eastAsia="en-US"/>
              </w:rPr>
              <w:t>V</w:t>
            </w:r>
            <w:r>
              <w:rPr>
                <w:rFonts w:asciiTheme="minorHAnsi" w:eastAsiaTheme="minorHAnsi" w:hAnsiTheme="minorHAnsi" w:cstheme="minorHAnsi"/>
                <w:b/>
                <w:bCs/>
                <w:sz w:val="18"/>
                <w:szCs w:val="18"/>
                <w:lang w:eastAsia="en-US"/>
              </w:rPr>
              <w:t>8</w:t>
            </w:r>
          </w:p>
        </w:tc>
        <w:tc>
          <w:tcPr>
            <w:tcW w:w="4536" w:type="dxa"/>
            <w:shd w:val="clear" w:color="auto" w:fill="auto"/>
          </w:tcPr>
          <w:p w14:paraId="25657DAD" w14:textId="77777777" w:rsidR="002C5754" w:rsidRPr="002C5754" w:rsidRDefault="002C5754" w:rsidP="002C5754">
            <w:pPr>
              <w:spacing w:after="200" w:line="276" w:lineRule="auto"/>
              <w:rPr>
                <w:rFonts w:asciiTheme="minorHAnsi" w:eastAsiaTheme="minorHAnsi" w:hAnsiTheme="minorHAnsi" w:cstheme="minorHAnsi"/>
                <w:b/>
                <w:bCs/>
                <w:sz w:val="18"/>
                <w:szCs w:val="18"/>
                <w:lang w:eastAsia="en-US"/>
              </w:rPr>
            </w:pPr>
            <w:r w:rsidRPr="002C5754">
              <w:rPr>
                <w:rFonts w:asciiTheme="minorHAnsi" w:eastAsiaTheme="minorHAnsi" w:hAnsiTheme="minorHAnsi" w:cstheme="minorHAnsi"/>
                <w:b/>
                <w:bCs/>
                <w:sz w:val="18"/>
                <w:szCs w:val="18"/>
                <w:lang w:eastAsia="en-US"/>
              </w:rPr>
              <w:t>Review document</w:t>
            </w:r>
          </w:p>
        </w:tc>
        <w:tc>
          <w:tcPr>
            <w:tcW w:w="1134" w:type="dxa"/>
            <w:shd w:val="clear" w:color="auto" w:fill="auto"/>
          </w:tcPr>
          <w:p w14:paraId="41932007" w14:textId="77777777" w:rsidR="002C5754" w:rsidRPr="002C5754" w:rsidRDefault="002C5754" w:rsidP="002C5754">
            <w:pPr>
              <w:spacing w:after="200" w:line="276" w:lineRule="auto"/>
              <w:rPr>
                <w:rFonts w:asciiTheme="minorHAnsi" w:eastAsiaTheme="minorHAnsi" w:hAnsiTheme="minorHAnsi" w:cstheme="minorHAnsi"/>
                <w:b/>
                <w:bCs/>
                <w:sz w:val="18"/>
                <w:szCs w:val="18"/>
                <w:lang w:eastAsia="en-US"/>
              </w:rPr>
            </w:pPr>
            <w:r w:rsidRPr="002C5754">
              <w:rPr>
                <w:rFonts w:asciiTheme="minorHAnsi" w:eastAsiaTheme="minorHAnsi" w:hAnsiTheme="minorHAnsi" w:cstheme="minorHAnsi"/>
                <w:b/>
                <w:bCs/>
                <w:sz w:val="18"/>
                <w:szCs w:val="18"/>
                <w:lang w:eastAsia="en-US"/>
              </w:rPr>
              <w:t>01/08/23</w:t>
            </w:r>
          </w:p>
        </w:tc>
        <w:tc>
          <w:tcPr>
            <w:tcW w:w="993" w:type="dxa"/>
            <w:tcBorders>
              <w:bottom w:val="single" w:sz="4" w:space="0" w:color="808080" w:themeColor="background1" w:themeShade="80"/>
            </w:tcBorders>
            <w:shd w:val="clear" w:color="auto" w:fill="auto"/>
          </w:tcPr>
          <w:p w14:paraId="44407FA3" w14:textId="77777777" w:rsidR="002C5754" w:rsidRPr="002C5754" w:rsidRDefault="002C5754" w:rsidP="002C5754">
            <w:pPr>
              <w:spacing w:after="200" w:line="276" w:lineRule="auto"/>
              <w:rPr>
                <w:rFonts w:asciiTheme="minorHAnsi" w:eastAsiaTheme="minorHAnsi" w:hAnsiTheme="minorHAnsi" w:cstheme="minorHAnsi"/>
                <w:b/>
                <w:bCs/>
                <w:sz w:val="18"/>
                <w:szCs w:val="18"/>
                <w:lang w:eastAsia="en-US"/>
              </w:rPr>
            </w:pPr>
            <w:r w:rsidRPr="002C5754">
              <w:rPr>
                <w:rFonts w:asciiTheme="minorHAnsi" w:eastAsiaTheme="minorHAnsi" w:hAnsiTheme="minorHAnsi" w:cstheme="minorHAnsi"/>
                <w:b/>
                <w:bCs/>
                <w:sz w:val="18"/>
                <w:szCs w:val="18"/>
                <w:lang w:eastAsia="en-US"/>
              </w:rPr>
              <w:t>Kim Franks/John Stapleton</w:t>
            </w:r>
          </w:p>
        </w:tc>
        <w:tc>
          <w:tcPr>
            <w:tcW w:w="843" w:type="dxa"/>
            <w:tcBorders>
              <w:top w:val="single" w:sz="4" w:space="0" w:color="808080"/>
            </w:tcBorders>
            <w:shd w:val="clear" w:color="auto" w:fill="auto"/>
          </w:tcPr>
          <w:p w14:paraId="796D7AE9" w14:textId="77777777" w:rsidR="002C5754" w:rsidRPr="002C5754" w:rsidRDefault="002C5754" w:rsidP="002C5754">
            <w:pPr>
              <w:spacing w:after="200" w:line="276" w:lineRule="auto"/>
              <w:rPr>
                <w:rFonts w:asciiTheme="minorHAnsi" w:eastAsiaTheme="minorHAnsi" w:hAnsiTheme="minorHAnsi" w:cstheme="minorHAnsi"/>
                <w:b/>
                <w:bCs/>
                <w:sz w:val="18"/>
                <w:szCs w:val="18"/>
                <w:lang w:eastAsia="en-US"/>
              </w:rPr>
            </w:pPr>
            <w:r w:rsidRPr="002C5754">
              <w:rPr>
                <w:rFonts w:asciiTheme="minorHAnsi" w:eastAsiaTheme="minorHAnsi" w:hAnsiTheme="minorHAnsi" w:cstheme="minorHAnsi"/>
                <w:b/>
                <w:bCs/>
                <w:sz w:val="18"/>
                <w:szCs w:val="18"/>
                <w:lang w:eastAsia="en-US"/>
              </w:rPr>
              <w:t>Jonny Phillips</w:t>
            </w:r>
          </w:p>
        </w:tc>
      </w:tr>
    </w:tbl>
    <w:p w14:paraId="5B39DD07"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D08"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D09"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D0A"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p w14:paraId="5B39DD0B" w14:textId="77777777" w:rsidR="004628BB" w:rsidRDefault="004628BB">
      <w:pPr>
        <w:pStyle w:val="NormalWeb"/>
        <w:spacing w:before="0" w:beforeAutospacing="0" w:after="240" w:afterAutospacing="0"/>
        <w:rPr>
          <w:rFonts w:asciiTheme="minorHAnsi" w:eastAsia="MS Gothic" w:hAnsiTheme="minorHAnsi" w:cstheme="minorHAnsi"/>
          <w:b/>
          <w:color w:val="000000" w:themeColor="text1"/>
          <w:u w:val="single"/>
        </w:rPr>
      </w:pPr>
    </w:p>
    <w:sectPr w:rsidR="004628BB">
      <w:headerReference w:type="default" r:id="rId22"/>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9DD25" w14:textId="77777777" w:rsidR="002C5754" w:rsidRDefault="002C5754">
      <w:r>
        <w:separator/>
      </w:r>
    </w:p>
  </w:endnote>
  <w:endnote w:type="continuationSeparator" w:id="0">
    <w:p w14:paraId="5B39DD27" w14:textId="77777777" w:rsidR="002C5754" w:rsidRDefault="002C5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round">
    <w:altName w:val="Times New Roman"/>
    <w:charset w:val="00"/>
    <w:family w:val="auto"/>
    <w:pitch w:val="default"/>
  </w:font>
  <w:font w:name="Helvetica Neue">
    <w:altName w:val="Arial"/>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Italic">
    <w:altName w:val="Calibri"/>
    <w:charset w:val="00"/>
    <w:family w:val="roman"/>
    <w:pitch w:val="default"/>
  </w:font>
  <w:font w:name="Calibri-BoldItalic">
    <w:altName w:val="Calibri"/>
    <w:charset w:val="00"/>
    <w:family w:val="roman"/>
    <w:pitch w:val="default"/>
  </w:font>
  <w:font w:name="TimesNewRomanPSMT">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randon Grotesque">
    <w:altName w:val="Calibri"/>
    <w:charset w:val="4D"/>
    <w:family w:val="swiss"/>
    <w:pitch w:val="default"/>
    <w:sig w:usb0="00000000" w:usb1="00000000" w:usb2="00000000" w:usb3="00000000" w:csb0="0000009B" w:csb1="00000000"/>
  </w:font>
  <w:font w:name="Poppins Black">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DD20" w14:textId="77777777" w:rsidR="004628BB" w:rsidRDefault="004628BB">
    <w:pPr>
      <w:pStyle w:val="NormalWeb"/>
      <w:shd w:val="clear" w:color="auto" w:fill="FFFFFF"/>
      <w:spacing w:before="0" w:beforeAutospacing="0" w:after="240" w:afterAutospacing="0"/>
      <w:rPr>
        <w:rFonts w:asciiTheme="minorHAnsi" w:hAnsiTheme="minorHAnsi" w:cstheme="minorHAnsi"/>
        <w:b/>
        <w:color w:val="000000"/>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9DD21" w14:textId="77777777" w:rsidR="002C5754" w:rsidRDefault="002C5754">
      <w:r>
        <w:separator/>
      </w:r>
    </w:p>
  </w:footnote>
  <w:footnote w:type="continuationSeparator" w:id="0">
    <w:p w14:paraId="5B39DD23" w14:textId="77777777" w:rsidR="002C5754" w:rsidRDefault="002C5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DD1E" w14:textId="77777777" w:rsidR="004628BB" w:rsidRDefault="002C5754">
    <w:pPr>
      <w:pStyle w:val="Header"/>
      <w:tabs>
        <w:tab w:val="center" w:pos="4153"/>
        <w:tab w:val="left" w:pos="7110"/>
      </w:tabs>
    </w:pPr>
    <w:r>
      <w:tab/>
    </w:r>
    <w:r>
      <w:rPr>
        <w:rFonts w:ascii="Poppins Black" w:hAnsi="Poppins Black" w:cs="Poppins Black"/>
        <w:b/>
        <w:bCs/>
        <w:noProof/>
        <w:color w:val="7030A0"/>
        <w:sz w:val="70"/>
        <w:szCs w:val="70"/>
      </w:rPr>
      <w:drawing>
        <wp:anchor distT="0" distB="0" distL="0" distR="0" simplePos="0" relativeHeight="251661312" behindDoc="1" locked="0" layoutInCell="1" allowOverlap="1" wp14:anchorId="5B39DD21" wp14:editId="5B39DD22">
          <wp:simplePos x="0" y="0"/>
          <wp:positionH relativeFrom="column">
            <wp:posOffset>-634365</wp:posOffset>
          </wp:positionH>
          <wp:positionV relativeFrom="paragraph">
            <wp:posOffset>-176530</wp:posOffset>
          </wp:positionV>
          <wp:extent cx="1737360" cy="358775"/>
          <wp:effectExtent l="0" t="0" r="0" b="698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37360" cy="358775"/>
                  </a:xfrm>
                  <a:prstGeom prst="rect">
                    <a:avLst/>
                  </a:prstGeom>
                  <a:noFill/>
                </pic:spPr>
              </pic:pic>
            </a:graphicData>
          </a:graphic>
        </wp:anchor>
      </w:drawing>
    </w:r>
    <w:r>
      <w:tab/>
    </w:r>
  </w:p>
  <w:p w14:paraId="5B39DD1F" w14:textId="77777777" w:rsidR="004628BB" w:rsidRDefault="004628BB">
    <w:pPr>
      <w:pStyle w:val="Header"/>
      <w:tabs>
        <w:tab w:val="center" w:pos="4153"/>
        <w:tab w:val="left" w:pos="71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5C90"/>
    <w:multiLevelType w:val="multilevel"/>
    <w:tmpl w:val="057B5C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1D41FE"/>
    <w:multiLevelType w:val="multilevel"/>
    <w:tmpl w:val="091D41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A07FA1"/>
    <w:multiLevelType w:val="multilevel"/>
    <w:tmpl w:val="0CA07F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A9447A"/>
    <w:multiLevelType w:val="multilevel"/>
    <w:tmpl w:val="11A944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650A24"/>
    <w:multiLevelType w:val="multilevel"/>
    <w:tmpl w:val="14650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857EFC"/>
    <w:multiLevelType w:val="multilevel"/>
    <w:tmpl w:val="17857EF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0A500B5"/>
    <w:multiLevelType w:val="multilevel"/>
    <w:tmpl w:val="20A500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1917A87"/>
    <w:multiLevelType w:val="multilevel"/>
    <w:tmpl w:val="21917A8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4AD34603"/>
    <w:multiLevelType w:val="multilevel"/>
    <w:tmpl w:val="4AD34603"/>
    <w:lvl w:ilvl="0">
      <w:start w:val="11"/>
      <w:numFmt w:val="decimal"/>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535D26"/>
    <w:multiLevelType w:val="multilevel"/>
    <w:tmpl w:val="53535D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4371704"/>
    <w:multiLevelType w:val="multilevel"/>
    <w:tmpl w:val="543717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5CEA3491"/>
    <w:multiLevelType w:val="multilevel"/>
    <w:tmpl w:val="5CEA34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9091143"/>
    <w:multiLevelType w:val="multilevel"/>
    <w:tmpl w:val="790911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7A612296"/>
    <w:multiLevelType w:val="multilevel"/>
    <w:tmpl w:val="7A61229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7BEA112F"/>
    <w:multiLevelType w:val="multilevel"/>
    <w:tmpl w:val="7BEA112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num w:numId="1" w16cid:durableId="1510867636">
    <w:abstractNumId w:val="2"/>
  </w:num>
  <w:num w:numId="2" w16cid:durableId="637343342">
    <w:abstractNumId w:val="9"/>
  </w:num>
  <w:num w:numId="3" w16cid:durableId="1561481811">
    <w:abstractNumId w:val="0"/>
  </w:num>
  <w:num w:numId="4" w16cid:durableId="802843428">
    <w:abstractNumId w:val="4"/>
  </w:num>
  <w:num w:numId="5" w16cid:durableId="711465233">
    <w:abstractNumId w:val="14"/>
  </w:num>
  <w:num w:numId="6" w16cid:durableId="2079555493">
    <w:abstractNumId w:val="3"/>
  </w:num>
  <w:num w:numId="7" w16cid:durableId="538783536">
    <w:abstractNumId w:val="11"/>
  </w:num>
  <w:num w:numId="8" w16cid:durableId="316417139">
    <w:abstractNumId w:val="5"/>
  </w:num>
  <w:num w:numId="9" w16cid:durableId="1173760396">
    <w:abstractNumId w:val="10"/>
  </w:num>
  <w:num w:numId="10" w16cid:durableId="491411121">
    <w:abstractNumId w:val="7"/>
  </w:num>
  <w:num w:numId="11" w16cid:durableId="2121488681">
    <w:abstractNumId w:val="6"/>
  </w:num>
  <w:num w:numId="12" w16cid:durableId="460225712">
    <w:abstractNumId w:val="12"/>
  </w:num>
  <w:num w:numId="13" w16cid:durableId="224605584">
    <w:abstractNumId w:val="1"/>
  </w:num>
  <w:num w:numId="14" w16cid:durableId="1912078720">
    <w:abstractNumId w:val="8"/>
  </w:num>
  <w:num w:numId="15" w16cid:durableId="6981697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2E2"/>
    <w:rsid w:val="0002234F"/>
    <w:rsid w:val="00023042"/>
    <w:rsid w:val="00033F4F"/>
    <w:rsid w:val="00054A8C"/>
    <w:rsid w:val="000639C3"/>
    <w:rsid w:val="00067910"/>
    <w:rsid w:val="00080B8D"/>
    <w:rsid w:val="000B7AD1"/>
    <w:rsid w:val="000D737F"/>
    <w:rsid w:val="000F3266"/>
    <w:rsid w:val="00104F4F"/>
    <w:rsid w:val="001104EA"/>
    <w:rsid w:val="00130D24"/>
    <w:rsid w:val="0013772F"/>
    <w:rsid w:val="001440BF"/>
    <w:rsid w:val="001551D1"/>
    <w:rsid w:val="00161E04"/>
    <w:rsid w:val="00172A9B"/>
    <w:rsid w:val="00184F50"/>
    <w:rsid w:val="001850D4"/>
    <w:rsid w:val="001A15AE"/>
    <w:rsid w:val="001C6C8C"/>
    <w:rsid w:val="00206894"/>
    <w:rsid w:val="0021061D"/>
    <w:rsid w:val="0021067E"/>
    <w:rsid w:val="00211EDE"/>
    <w:rsid w:val="002169B1"/>
    <w:rsid w:val="00224051"/>
    <w:rsid w:val="002417D0"/>
    <w:rsid w:val="00245DFE"/>
    <w:rsid w:val="0025303F"/>
    <w:rsid w:val="00253C98"/>
    <w:rsid w:val="00264C36"/>
    <w:rsid w:val="00271044"/>
    <w:rsid w:val="00287F84"/>
    <w:rsid w:val="00290C98"/>
    <w:rsid w:val="002946F9"/>
    <w:rsid w:val="002A3012"/>
    <w:rsid w:val="002A4455"/>
    <w:rsid w:val="002A6883"/>
    <w:rsid w:val="002C3973"/>
    <w:rsid w:val="002C5754"/>
    <w:rsid w:val="002C7133"/>
    <w:rsid w:val="002F094D"/>
    <w:rsid w:val="002F4173"/>
    <w:rsid w:val="002F5D7E"/>
    <w:rsid w:val="00302573"/>
    <w:rsid w:val="0033366A"/>
    <w:rsid w:val="0034406F"/>
    <w:rsid w:val="003514F1"/>
    <w:rsid w:val="0035459A"/>
    <w:rsid w:val="003710F6"/>
    <w:rsid w:val="00376FFB"/>
    <w:rsid w:val="00380C50"/>
    <w:rsid w:val="00391772"/>
    <w:rsid w:val="003B235F"/>
    <w:rsid w:val="003D7B07"/>
    <w:rsid w:val="00400248"/>
    <w:rsid w:val="00410317"/>
    <w:rsid w:val="00431744"/>
    <w:rsid w:val="00454761"/>
    <w:rsid w:val="004628BB"/>
    <w:rsid w:val="00473667"/>
    <w:rsid w:val="004A4B56"/>
    <w:rsid w:val="004D49D9"/>
    <w:rsid w:val="005065CF"/>
    <w:rsid w:val="005138B4"/>
    <w:rsid w:val="00520D1C"/>
    <w:rsid w:val="00583EB0"/>
    <w:rsid w:val="005D05E6"/>
    <w:rsid w:val="005D4D08"/>
    <w:rsid w:val="005E3903"/>
    <w:rsid w:val="006073B0"/>
    <w:rsid w:val="00635E56"/>
    <w:rsid w:val="00637E17"/>
    <w:rsid w:val="006447C4"/>
    <w:rsid w:val="00652C84"/>
    <w:rsid w:val="006660DA"/>
    <w:rsid w:val="0069437F"/>
    <w:rsid w:val="006B5D57"/>
    <w:rsid w:val="006C01F1"/>
    <w:rsid w:val="006D37CA"/>
    <w:rsid w:val="006D72BF"/>
    <w:rsid w:val="006E1C42"/>
    <w:rsid w:val="006E22E2"/>
    <w:rsid w:val="006E4431"/>
    <w:rsid w:val="006F2C45"/>
    <w:rsid w:val="00737A1B"/>
    <w:rsid w:val="00740893"/>
    <w:rsid w:val="007513DF"/>
    <w:rsid w:val="007966B2"/>
    <w:rsid w:val="007A1D40"/>
    <w:rsid w:val="007A26F5"/>
    <w:rsid w:val="007A5AC3"/>
    <w:rsid w:val="007D79E3"/>
    <w:rsid w:val="007F764F"/>
    <w:rsid w:val="00805C70"/>
    <w:rsid w:val="0080665C"/>
    <w:rsid w:val="008132F7"/>
    <w:rsid w:val="00821590"/>
    <w:rsid w:val="00821BFA"/>
    <w:rsid w:val="00824641"/>
    <w:rsid w:val="00853359"/>
    <w:rsid w:val="00873A20"/>
    <w:rsid w:val="00877463"/>
    <w:rsid w:val="008A28A0"/>
    <w:rsid w:val="008A6844"/>
    <w:rsid w:val="008C3516"/>
    <w:rsid w:val="008C3F1B"/>
    <w:rsid w:val="008D605E"/>
    <w:rsid w:val="008E691F"/>
    <w:rsid w:val="00911094"/>
    <w:rsid w:val="009176C6"/>
    <w:rsid w:val="009272E7"/>
    <w:rsid w:val="009329FF"/>
    <w:rsid w:val="00937F41"/>
    <w:rsid w:val="009444D5"/>
    <w:rsid w:val="00951152"/>
    <w:rsid w:val="009576FB"/>
    <w:rsid w:val="00960983"/>
    <w:rsid w:val="009A6ACE"/>
    <w:rsid w:val="009C1FD0"/>
    <w:rsid w:val="009D170D"/>
    <w:rsid w:val="009D5FD3"/>
    <w:rsid w:val="009E46D9"/>
    <w:rsid w:val="009F3010"/>
    <w:rsid w:val="009F74E1"/>
    <w:rsid w:val="00A31E0F"/>
    <w:rsid w:val="00A33EB1"/>
    <w:rsid w:val="00A402C5"/>
    <w:rsid w:val="00A52AB9"/>
    <w:rsid w:val="00A52BEF"/>
    <w:rsid w:val="00A608CC"/>
    <w:rsid w:val="00A625DD"/>
    <w:rsid w:val="00AA05E4"/>
    <w:rsid w:val="00AC0418"/>
    <w:rsid w:val="00AD676D"/>
    <w:rsid w:val="00AF4697"/>
    <w:rsid w:val="00AF4DA4"/>
    <w:rsid w:val="00AF54F6"/>
    <w:rsid w:val="00B224F0"/>
    <w:rsid w:val="00BA6961"/>
    <w:rsid w:val="00BA7F6E"/>
    <w:rsid w:val="00BB65A5"/>
    <w:rsid w:val="00BC4339"/>
    <w:rsid w:val="00BE164B"/>
    <w:rsid w:val="00BE1CD9"/>
    <w:rsid w:val="00BE38CD"/>
    <w:rsid w:val="00BE4B20"/>
    <w:rsid w:val="00BE7F0A"/>
    <w:rsid w:val="00BF0660"/>
    <w:rsid w:val="00BF0885"/>
    <w:rsid w:val="00C013E7"/>
    <w:rsid w:val="00C03ED3"/>
    <w:rsid w:val="00C05AAB"/>
    <w:rsid w:val="00C33769"/>
    <w:rsid w:val="00C526A2"/>
    <w:rsid w:val="00C63E9C"/>
    <w:rsid w:val="00C71117"/>
    <w:rsid w:val="00C712C6"/>
    <w:rsid w:val="00C73B3B"/>
    <w:rsid w:val="00C77F31"/>
    <w:rsid w:val="00C85B07"/>
    <w:rsid w:val="00C87737"/>
    <w:rsid w:val="00CC1497"/>
    <w:rsid w:val="00D356EE"/>
    <w:rsid w:val="00D72E0A"/>
    <w:rsid w:val="00D87B6A"/>
    <w:rsid w:val="00DA7113"/>
    <w:rsid w:val="00DB16C9"/>
    <w:rsid w:val="00DC2A6C"/>
    <w:rsid w:val="00DC7C9E"/>
    <w:rsid w:val="00DD3CF2"/>
    <w:rsid w:val="00DF5AB2"/>
    <w:rsid w:val="00E07AFF"/>
    <w:rsid w:val="00E405D3"/>
    <w:rsid w:val="00E4724A"/>
    <w:rsid w:val="00E71265"/>
    <w:rsid w:val="00E94CB9"/>
    <w:rsid w:val="00E95682"/>
    <w:rsid w:val="00EA5829"/>
    <w:rsid w:val="00EB77F4"/>
    <w:rsid w:val="00ED0F63"/>
    <w:rsid w:val="00EE4CE4"/>
    <w:rsid w:val="00EF1B44"/>
    <w:rsid w:val="00F710DE"/>
    <w:rsid w:val="00F92106"/>
    <w:rsid w:val="00FB1437"/>
    <w:rsid w:val="00FB3AE2"/>
    <w:rsid w:val="00FD05AC"/>
    <w:rsid w:val="00FE538A"/>
    <w:rsid w:val="041114ED"/>
    <w:rsid w:val="710743D2"/>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B39D8BD"/>
  <w15:docId w15:val="{31E01942-BB94-4C64-8B03-35A249EB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spacing w:before="100" w:beforeAutospacing="1" w:after="144" w:line="240" w:lineRule="atLeast"/>
      <w:outlineLvl w:val="0"/>
    </w:pPr>
    <w:rPr>
      <w:rFonts w:ascii="vaground" w:hAnsi="vaground"/>
      <w:b/>
      <w:bCs/>
      <w:color w:val="283142"/>
      <w:kern w:val="36"/>
      <w:sz w:val="62"/>
      <w:szCs w:val="62"/>
    </w:rPr>
  </w:style>
  <w:style w:type="paragraph" w:styleId="Heading2">
    <w:name w:val="heading 2"/>
    <w:basedOn w:val="Normal"/>
    <w:next w:val="Normal"/>
    <w:link w:val="Heading2Char"/>
    <w:uiPriority w:val="9"/>
    <w:qFormat/>
    <w:pPr>
      <w:spacing w:before="100" w:beforeAutospacing="1" w:after="120" w:line="240" w:lineRule="atLeast"/>
      <w:outlineLvl w:val="1"/>
    </w:pPr>
    <w:rPr>
      <w:rFonts w:ascii="vaground" w:hAnsi="vaground"/>
      <w:b/>
      <w:bCs/>
      <w:color w:val="283142"/>
      <w:sz w:val="38"/>
      <w:szCs w:val="38"/>
    </w:rPr>
  </w:style>
  <w:style w:type="paragraph" w:styleId="Heading3">
    <w:name w:val="heading 3"/>
    <w:basedOn w:val="Normal"/>
    <w:next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qFormat/>
    <w:pPr>
      <w:spacing w:before="100" w:beforeAutospacing="1" w:after="96" w:line="240" w:lineRule="atLeast"/>
      <w:outlineLvl w:val="3"/>
    </w:pPr>
    <w:rPr>
      <w:rFonts w:ascii="Helvetica Neue" w:hAnsi="Helvetica Neue"/>
      <w:b/>
      <w:bCs/>
      <w:color w:val="283142"/>
      <w:sz w:val="26"/>
      <w:szCs w:val="26"/>
    </w:rPr>
  </w:style>
  <w:style w:type="paragraph" w:styleId="Heading5">
    <w:name w:val="heading 5"/>
    <w:basedOn w:val="Normal"/>
    <w:next w:val="Normal"/>
    <w:link w:val="Heading5Char"/>
    <w:uiPriority w:val="9"/>
    <w:qFormat/>
    <w:pPr>
      <w:spacing w:before="100" w:beforeAutospacing="1" w:after="100" w:afterAutospacing="1"/>
      <w:outlineLvl w:val="4"/>
    </w:pPr>
    <w:rPr>
      <w:b/>
      <w:bCs/>
      <w:color w:val="283142"/>
      <w:sz w:val="20"/>
      <w:szCs w:val="20"/>
    </w:rPr>
  </w:style>
  <w:style w:type="paragraph" w:styleId="Heading6">
    <w:name w:val="heading 6"/>
    <w:basedOn w:val="Normal"/>
    <w:next w:val="Normal"/>
    <w:link w:val="Heading6Char"/>
    <w:uiPriority w:val="9"/>
    <w:qFormat/>
    <w:pPr>
      <w:spacing w:before="100" w:beforeAutospacing="1" w:after="100" w:afterAutospacing="1"/>
      <w:outlineLvl w:val="5"/>
    </w:pPr>
    <w:rPr>
      <w:b/>
      <w:bCs/>
      <w:color w:val="283142"/>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themeColor="hyperlink"/>
      <w:u w:val="single"/>
    </w:rPr>
  </w:style>
  <w:style w:type="character" w:styleId="Strong">
    <w:name w:val="Strong"/>
    <w:basedOn w:val="DefaultParagraphFont"/>
    <w:uiPriority w:val="22"/>
    <w:qFormat/>
    <w:rPr>
      <w:b/>
      <w:bCs/>
    </w:rPr>
  </w:style>
  <w:style w:type="paragraph" w:styleId="BalloonText">
    <w:name w:val="Balloon Text"/>
    <w:basedOn w:val="Normal"/>
    <w:link w:val="BalloonTextChar"/>
    <w:qFormat/>
    <w:rPr>
      <w:rFonts w:ascii="Tahoma" w:hAnsi="Tahoma" w:cs="Tahoma"/>
      <w:sz w:val="16"/>
      <w:szCs w:val="16"/>
    </w:rPr>
  </w:style>
  <w:style w:type="paragraph" w:styleId="Header">
    <w:name w:val="header"/>
    <w:basedOn w:val="Normal"/>
    <w:link w:val="HeaderChar"/>
    <w:qFormat/>
    <w:pPr>
      <w:tabs>
        <w:tab w:val="center" w:pos="4513"/>
        <w:tab w:val="right" w:pos="9026"/>
      </w:tabs>
    </w:pPr>
  </w:style>
  <w:style w:type="paragraph" w:styleId="Footer">
    <w:name w:val="footer"/>
    <w:basedOn w:val="Normal"/>
    <w:link w:val="FooterChar"/>
    <w:pPr>
      <w:tabs>
        <w:tab w:val="center" w:pos="4513"/>
        <w:tab w:val="right" w:pos="9026"/>
      </w:tabs>
    </w:pPr>
  </w:style>
  <w:style w:type="paragraph" w:styleId="NormalWeb">
    <w:name w:val="Normal (Web)"/>
    <w:basedOn w:val="Normal"/>
    <w:uiPriority w:val="99"/>
    <w:unhideWhenUsed/>
    <w:qFormat/>
    <w:pPr>
      <w:spacing w:before="100" w:beforeAutospacing="1" w:after="100" w:afterAutospacing="1"/>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eading3Char">
    <w:name w:val="Heading 3 Char"/>
    <w:basedOn w:val="DefaultParagraphFont"/>
    <w:link w:val="Heading3"/>
    <w:uiPriority w:val="9"/>
    <w:qFormat/>
    <w:rPr>
      <w:b/>
      <w:bCs/>
      <w:sz w:val="27"/>
      <w:szCs w:val="27"/>
    </w:rPr>
  </w:style>
  <w:style w:type="character" w:customStyle="1" w:styleId="BalloonTextChar">
    <w:name w:val="Balloon Text Char"/>
    <w:basedOn w:val="DefaultParagraphFont"/>
    <w:link w:val="BalloonText"/>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vaground" w:hAnsi="vaground"/>
      <w:b/>
      <w:bCs/>
      <w:color w:val="283142"/>
      <w:kern w:val="36"/>
      <w:sz w:val="62"/>
      <w:szCs w:val="62"/>
    </w:rPr>
  </w:style>
  <w:style w:type="character" w:customStyle="1" w:styleId="Heading2Char">
    <w:name w:val="Heading 2 Char"/>
    <w:basedOn w:val="DefaultParagraphFont"/>
    <w:link w:val="Heading2"/>
    <w:uiPriority w:val="9"/>
    <w:qFormat/>
    <w:rPr>
      <w:rFonts w:ascii="vaground" w:hAnsi="vaground"/>
      <w:b/>
      <w:bCs/>
      <w:color w:val="283142"/>
      <w:sz w:val="38"/>
      <w:szCs w:val="38"/>
    </w:rPr>
  </w:style>
  <w:style w:type="character" w:customStyle="1" w:styleId="Heading4Char">
    <w:name w:val="Heading 4 Char"/>
    <w:basedOn w:val="DefaultParagraphFont"/>
    <w:link w:val="Heading4"/>
    <w:uiPriority w:val="9"/>
    <w:rPr>
      <w:rFonts w:ascii="Helvetica Neue" w:hAnsi="Helvetica Neue"/>
      <w:b/>
      <w:bCs/>
      <w:color w:val="283142"/>
      <w:sz w:val="26"/>
      <w:szCs w:val="26"/>
    </w:rPr>
  </w:style>
  <w:style w:type="character" w:customStyle="1" w:styleId="Heading5Char">
    <w:name w:val="Heading 5 Char"/>
    <w:basedOn w:val="DefaultParagraphFont"/>
    <w:link w:val="Heading5"/>
    <w:uiPriority w:val="9"/>
    <w:qFormat/>
    <w:rPr>
      <w:b/>
      <w:bCs/>
      <w:color w:val="283142"/>
    </w:rPr>
  </w:style>
  <w:style w:type="character" w:customStyle="1" w:styleId="Heading6Char">
    <w:name w:val="Heading 6 Char"/>
    <w:basedOn w:val="DefaultParagraphFont"/>
    <w:link w:val="Heading6"/>
    <w:uiPriority w:val="9"/>
    <w:qFormat/>
    <w:rPr>
      <w:b/>
      <w:bCs/>
      <w:color w:val="283142"/>
      <w:sz w:val="15"/>
      <w:szCs w:val="15"/>
    </w:rPr>
  </w:style>
  <w:style w:type="character" w:customStyle="1" w:styleId="HTMLPreformattedChar">
    <w:name w:val="HTML Preformatted Char"/>
    <w:basedOn w:val="DefaultParagraphFont"/>
    <w:link w:val="HTMLPreformatted"/>
    <w:uiPriority w:val="99"/>
    <w:rPr>
      <w:rFonts w:ascii="Courier New" w:hAnsi="Courier New" w:cs="Courier New"/>
    </w:rPr>
  </w:style>
  <w:style w:type="character" w:customStyle="1" w:styleId="HeaderChar">
    <w:name w:val="Header Char"/>
    <w:basedOn w:val="DefaultParagraphFont"/>
    <w:link w:val="Header"/>
    <w:qFormat/>
    <w:rPr>
      <w:sz w:val="24"/>
      <w:szCs w:val="24"/>
    </w:rPr>
  </w:style>
  <w:style w:type="character" w:customStyle="1" w:styleId="FooterChar">
    <w:name w:val="Footer Char"/>
    <w:basedOn w:val="DefaultParagraphFont"/>
    <w:link w:val="Footer"/>
    <w:qFormat/>
    <w:rPr>
      <w:sz w:val="24"/>
      <w:szCs w:val="24"/>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fontstyle01">
    <w:name w:val="fontstyle01"/>
    <w:basedOn w:val="DefaultParagraphFont"/>
    <w:qFormat/>
    <w:rPr>
      <w:rFonts w:ascii="Calibri" w:hAnsi="Calibri" w:cs="Calibri" w:hint="default"/>
      <w:color w:val="000000"/>
      <w:sz w:val="22"/>
      <w:szCs w:val="22"/>
    </w:rPr>
  </w:style>
  <w:style w:type="character" w:customStyle="1" w:styleId="fontstyle21">
    <w:name w:val="fontstyle21"/>
    <w:basedOn w:val="DefaultParagraphFont"/>
    <w:qFormat/>
    <w:rPr>
      <w:rFonts w:ascii="Calibri-Italic" w:hAnsi="Calibri-Italic" w:hint="default"/>
      <w:i/>
      <w:iCs/>
      <w:color w:val="000000"/>
      <w:sz w:val="22"/>
      <w:szCs w:val="22"/>
    </w:rPr>
  </w:style>
  <w:style w:type="character" w:customStyle="1" w:styleId="fontstyle31">
    <w:name w:val="fontstyle31"/>
    <w:basedOn w:val="DefaultParagraphFont"/>
    <w:qFormat/>
    <w:rPr>
      <w:rFonts w:ascii="Calibri-BoldItalic" w:hAnsi="Calibri-BoldItalic" w:hint="default"/>
      <w:b/>
      <w:bCs/>
      <w:i/>
      <w:iCs/>
      <w:color w:val="000000"/>
      <w:sz w:val="22"/>
      <w:szCs w:val="22"/>
    </w:rPr>
  </w:style>
  <w:style w:type="character" w:customStyle="1" w:styleId="fontstyle41">
    <w:name w:val="fontstyle41"/>
    <w:basedOn w:val="DefaultParagraphFont"/>
    <w:qFormat/>
    <w:rPr>
      <w:rFonts w:ascii="Arial" w:hAnsi="Arial" w:cs="Arial" w:hint="default"/>
      <w:color w:val="000000"/>
      <w:sz w:val="18"/>
      <w:szCs w:val="18"/>
    </w:rPr>
  </w:style>
  <w:style w:type="character" w:customStyle="1" w:styleId="fontstyle51">
    <w:name w:val="fontstyle51"/>
    <w:basedOn w:val="DefaultParagraphFont"/>
    <w:qFormat/>
    <w:rPr>
      <w:rFonts w:ascii="TimesNewRomanPSMT" w:hAnsi="TimesNewRomanPSMT" w:hint="default"/>
      <w:color w:val="000000"/>
      <w:sz w:val="24"/>
      <w:szCs w:val="24"/>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atacontroller@strivetraining.co.uk"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atacontroller@strivetraining.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atacontroller@strivetraining.co.u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jstapleton@strivetraining.co.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0549A9F50C94FA45AE033369F1C27DD3" ma:contentTypeVersion="18" ma:contentTypeDescription="Create a new document." ma:contentTypeScope="" ma:versionID="209a6d52276ba3e89055b1ec18cac0b3">
  <xsd:schema xmlns:xsd="http://www.w3.org/2001/XMLSchema" xmlns:xs="http://www.w3.org/2001/XMLSchema" xmlns:p="http://schemas.microsoft.com/office/2006/metadata/properties" xmlns:ns2="d475d4c0-ff3b-4fb3-87ec-8320f76e74d7" xmlns:ns3="9350439a-4f5a-4f6e-b291-a0b23cc54af9" xmlns:ns4="490fcf18-8b71-45c7-839d-88ad2d24ed83" targetNamespace="http://schemas.microsoft.com/office/2006/metadata/properties" ma:root="true" ma:fieldsID="0f4cd0ce663a65f21a327b75ba826b13" ns2:_="" ns3:_="" ns4:_="">
    <xsd:import namespace="d475d4c0-ff3b-4fb3-87ec-8320f76e74d7"/>
    <xsd:import namespace="9350439a-4f5a-4f6e-b291-a0b23cc54af9"/>
    <xsd:import namespace="490fcf18-8b71-45c7-839d-88ad2d24ed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Ordering"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5d4c0-ff3b-4fb3-87ec-8320f76e7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Ordering" ma:index="14" nillable="true" ma:displayName="Ordering" ma:decimals="0" ma:format="Dropdown" ma:indexed="true" ma:internalName="Ordering"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76e69e6-6bf2-40ec-a693-ad4ee695de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50439a-4f5a-4f6e-b291-a0b23cc54af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0fcf18-8b71-45c7-839d-88ad2d24ed83"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d42de28-d7fc-40ae-9681-aac210290c3e}" ma:internalName="TaxCatchAll" ma:showField="CatchAllData" ma:web="490fcf18-8b71-45c7-839d-88ad2d24ed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rdering xmlns="d475d4c0-ff3b-4fb3-87ec-8320f76e74d7" xsi:nil="true"/>
    <TaxCatchAll xmlns="490fcf18-8b71-45c7-839d-88ad2d24ed83" xsi:nil="true"/>
    <lcf76f155ced4ddcb4097134ff3c332f xmlns="d475d4c0-ff3b-4fb3-87ec-8320f76e74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E361BE-2A51-41F4-B02D-899D37C70DB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96A82D1-8DF5-423B-9AA6-AC365E790B87}">
  <ds:schemaRefs/>
</ds:datastoreItem>
</file>

<file path=customXml/itemProps4.xml><?xml version="1.0" encoding="utf-8"?>
<ds:datastoreItem xmlns:ds="http://schemas.openxmlformats.org/officeDocument/2006/customXml" ds:itemID="{DD9CC26F-9C8F-4F4B-9E4E-8405939F1C1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9834</Words>
  <Characters>53451</Characters>
  <Application>Microsoft Office Word</Application>
  <DocSecurity>0</DocSecurity>
  <Lines>445</Lines>
  <Paragraphs>126</Paragraphs>
  <ScaleCrop>false</ScaleCrop>
  <Company>Hewlett-Packard</Company>
  <LinksUpToDate>false</LinksUpToDate>
  <CharactersWithSpaces>63159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Greaves</dc:creator>
  <cp:lastModifiedBy>Kim Franks</cp:lastModifiedBy>
  <cp:revision>25</cp:revision>
  <cp:lastPrinted>2018-05-31T10:03:00Z</cp:lastPrinted>
  <dcterms:created xsi:type="dcterms:W3CDTF">2022-05-12T08:12:00Z</dcterms:created>
  <dcterms:modified xsi:type="dcterms:W3CDTF">2023-11-14T14:18:00Z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0x0101000549A9F50C94FA45AE033369F1C27DD3</vt:lpwstr>
  </property>
  <property fmtid="{D5CDD505-2E9C-101B-9397-08002B2CF9AE}" pid="3" name="Order">
    <vt:r8>9200</vt:r8>
  </property>
  <property fmtid="{D5CDD505-2E9C-101B-9397-08002B2CF9AE}" pid="4" name="KSOProductBuildVer">
    <vt:lpwstr>1049-11.2.0.11537</vt:lpwstr>
  </property>
  <property fmtid="{D5CDD505-2E9C-101B-9397-08002B2CF9AE}" pid="5" name="ICV">
    <vt:lpwstr>D8FA4970EFCC45969B10A77E3FDD4CF6</vt:lpwstr>
  </property>
  <property fmtid="{D5CDD505-2E9C-101B-9397-08002B2CF9AE}" pid="6" name="MediaServiceImageTags">
    <vt:lpwstr/>
  </property>
</Properties>
</file>